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b/>
          <w:bCs/>
          <w:sz w:val="32"/>
          <w:szCs w:val="32"/>
        </w:rPr>
      </w:pPr>
      <w:r>
        <w:rPr>
          <w:rFonts w:hint="eastAsia"/>
          <w:b/>
          <w:bCs/>
          <w:sz w:val="32"/>
          <w:szCs w:val="32"/>
        </w:rPr>
        <w:t>《农产品产地冷链集配中心基本要求》行业标准</w:t>
      </w:r>
    </w:p>
    <w:p>
      <w:pPr>
        <w:ind w:right="-57" w:rightChars="-27"/>
        <w:jc w:val="center"/>
        <w:rPr>
          <w:b/>
          <w:bCs/>
          <w:sz w:val="32"/>
          <w:szCs w:val="32"/>
        </w:rPr>
      </w:pPr>
      <w:r>
        <w:rPr>
          <w:rFonts w:hint="eastAsia"/>
          <w:b/>
          <w:bCs/>
          <w:sz w:val="32"/>
          <w:szCs w:val="32"/>
        </w:rPr>
        <w:t>（征求意见稿）编制说明</w:t>
      </w:r>
    </w:p>
    <w:p/>
    <w:p>
      <w:pPr>
        <w:ind w:firstLine="640" w:firstLineChars="200"/>
        <w:rPr>
          <w:rFonts w:ascii="黑体" w:hAnsi="黑体" w:eastAsia="黑体" w:cs="黑体"/>
          <w:sz w:val="32"/>
          <w:szCs w:val="32"/>
        </w:rPr>
      </w:pPr>
      <w:r>
        <w:rPr>
          <w:rFonts w:hint="eastAsia" w:ascii="黑体" w:hAnsi="黑体" w:eastAsia="黑体" w:cs="黑体"/>
          <w:sz w:val="32"/>
          <w:szCs w:val="32"/>
        </w:rPr>
        <w:t>一、工作简况</w:t>
      </w:r>
    </w:p>
    <w:p>
      <w:pPr>
        <w:ind w:firstLine="640" w:firstLineChars="200"/>
        <w:rPr>
          <w:rFonts w:ascii="楷体" w:hAnsi="楷体" w:eastAsia="楷体" w:cs="楷体"/>
          <w:sz w:val="32"/>
          <w:szCs w:val="32"/>
        </w:rPr>
      </w:pPr>
      <w:r>
        <w:rPr>
          <w:rFonts w:hint="eastAsia"/>
          <w:sz w:val="32"/>
          <w:szCs w:val="32"/>
        </w:rPr>
        <w:t>（一）任务来源</w:t>
      </w:r>
    </w:p>
    <w:p>
      <w:pPr>
        <w:ind w:firstLine="640" w:firstLineChars="200"/>
        <w:rPr>
          <w:rFonts w:ascii="楷体" w:hAnsi="楷体" w:eastAsia="楷体" w:cs="楷体"/>
          <w:sz w:val="32"/>
          <w:szCs w:val="32"/>
        </w:rPr>
      </w:pPr>
      <w:r>
        <w:rPr>
          <w:rFonts w:hint="eastAsia" w:ascii="楷体" w:hAnsi="楷体" w:eastAsia="楷体" w:cs="楷体"/>
          <w:sz w:val="32"/>
          <w:szCs w:val="32"/>
        </w:rPr>
        <w:t>2022年11月30日，国家发展改革委办公厅印发了《2021年推荐性物流行业标准项目计划的复函》（发改办经贸〔2022〕1002号），《农产品产地冷链集配中心基本要求》行业标准正式批准立项，项目编号：303-2022-001，完成时间为2024年。该标准由中国物流与采购联合会冷链物流专业委员会、中国物流与采购联合会食材供应链分会、山东商业职业技术学院、北京中物冷联企业管理有限公司等单位牵头组织起草。</w:t>
      </w:r>
    </w:p>
    <w:p>
      <w:pPr>
        <w:ind w:firstLine="640" w:firstLineChars="200"/>
        <w:rPr>
          <w:sz w:val="32"/>
          <w:szCs w:val="32"/>
        </w:rPr>
      </w:pPr>
      <w:r>
        <w:rPr>
          <w:rFonts w:hint="eastAsia"/>
          <w:sz w:val="32"/>
          <w:szCs w:val="32"/>
        </w:rPr>
        <w:t>（二）制定背景</w:t>
      </w:r>
    </w:p>
    <w:p>
      <w:pPr>
        <w:ind w:firstLine="640" w:firstLineChars="200"/>
        <w:rPr>
          <w:rFonts w:ascii="楷体" w:hAnsi="楷体" w:eastAsia="楷体" w:cs="楷体"/>
          <w:sz w:val="32"/>
          <w:szCs w:val="32"/>
        </w:rPr>
      </w:pPr>
      <w:r>
        <w:rPr>
          <w:rFonts w:hint="eastAsia" w:ascii="楷体" w:hAnsi="楷体" w:eastAsia="楷体" w:cs="楷体"/>
          <w:sz w:val="32"/>
          <w:szCs w:val="32"/>
        </w:rPr>
        <w:t>农产品产地冷链集配中心指在产地建立的，包含集货、预冷、分选、加工、冷藏、发货、检测、收储、信息等功能的集散场所。全农集配中心是发达国家典型的农产品流通组织，“集配中心和连锁超市”合作模式是比较成功的“农超对接”模式。日本上世纪70年代开始大力发展集配中心，成为批发市场外流通的一个重要渠道。</w:t>
      </w:r>
    </w:p>
    <w:p>
      <w:pPr>
        <w:ind w:firstLine="640" w:firstLineChars="200"/>
        <w:rPr>
          <w:rFonts w:ascii="楷体" w:hAnsi="楷体" w:eastAsia="楷体" w:cs="楷体"/>
          <w:sz w:val="32"/>
          <w:szCs w:val="32"/>
        </w:rPr>
      </w:pPr>
      <w:r>
        <w:rPr>
          <w:rFonts w:hint="eastAsia" w:ascii="楷体" w:hAnsi="楷体" w:eastAsia="楷体" w:cs="楷体"/>
          <w:sz w:val="32"/>
          <w:szCs w:val="32"/>
        </w:rPr>
        <w:t>当前，国家对农产品产后体系建设高度重视。连续7年的中央一号文件均提出了关于农产品分级分选、包装、保鲜、冷链物流等产后体系建设的内容。冷链十四五规划中也多次提到要完善基础设施，围绕服务农产品产地集散、优化冷链产品销地网络，建设一批产销冷链集配中心，聚焦产地“最先一公里”。《“十四五”冷链物流发展规划》提出：“建设产地冷链集配中心。结合新型城镇化建设，依托县城、重点镇布局建设一批产地冷链集配中心，改善产地公共冷库设施条件，强化产地预冷、仓储保鲜、分级分拣、初加工、产地直销等能力，提高农产品商品化处理水平，减少产后损失，实现优质优价。服务本地消费市场，拓展产地冷链集配中心中转集散、分拨配送功能，优化完善县乡村冷链物流服务。”《“十四五”全国农产品产地市场体系发展规划》提出：“在国家级、区域性农产品产地市场建设改造具有集中采购和跨区域配送能力的农产品集配中心，作为农产品出村进城枢纽，配备预冷、低温分拣加工、冷藏运输等冷链物流设施设备，集中实现网销农产品商品化处理、品控分拣、打包配送、统配统送等功能。”</w:t>
      </w:r>
    </w:p>
    <w:p>
      <w:pPr>
        <w:ind w:firstLine="640" w:firstLineChars="200"/>
        <w:rPr>
          <w:rFonts w:ascii="楷体" w:hAnsi="楷体" w:eastAsia="楷体" w:cs="楷体"/>
          <w:sz w:val="32"/>
          <w:szCs w:val="32"/>
        </w:rPr>
      </w:pPr>
      <w:r>
        <w:rPr>
          <w:rFonts w:hint="eastAsia" w:ascii="楷体" w:hAnsi="楷体" w:eastAsia="楷体" w:cs="楷体"/>
          <w:sz w:val="32"/>
          <w:szCs w:val="32"/>
        </w:rPr>
        <w:t>2023年2月，农业农村部公开了《农业农村部关于落实党中央国务院2023年全面推进乡村振兴重点工作部署的实施意见》。该意见要求做大做强农产品加工流通业，“健全流通网络，深入实施农产品仓储保鲜冷链物流设施建设工程，支持家庭农场、农民合作社、农村集体经济组织等主体建设产地仓储保鲜设施，在重要流通节点建设产地冷链集配中心”。</w:t>
      </w:r>
    </w:p>
    <w:p>
      <w:pPr>
        <w:ind w:firstLine="640" w:firstLineChars="200"/>
        <w:rPr>
          <w:rFonts w:ascii="楷体" w:hAnsi="楷体" w:eastAsia="楷体" w:cs="楷体"/>
          <w:sz w:val="32"/>
          <w:szCs w:val="32"/>
        </w:rPr>
      </w:pPr>
      <w:r>
        <w:rPr>
          <w:rFonts w:ascii="楷体" w:hAnsi="楷体" w:eastAsia="楷体" w:cs="楷体"/>
          <w:sz w:val="32"/>
          <w:szCs w:val="32"/>
        </w:rPr>
        <w:t>2023年8月14日，商务部等九部门联合发布《县域商业三年行动计划（2023—2025年）》，</w:t>
      </w:r>
      <w:r>
        <w:rPr>
          <w:rFonts w:hint="eastAsia" w:ascii="楷体" w:hAnsi="楷体" w:eastAsia="楷体" w:cs="楷体"/>
          <w:sz w:val="32"/>
          <w:szCs w:val="32"/>
        </w:rPr>
        <w:t>要求“增强农产品商品化处理能力。支持商贸、</w:t>
      </w:r>
      <w:r>
        <w:rPr>
          <w:rFonts w:ascii="楷体" w:hAnsi="楷体" w:eastAsia="楷体" w:cs="楷体"/>
          <w:sz w:val="32"/>
          <w:szCs w:val="32"/>
        </w:rPr>
        <w:t>电商、农产品</w:t>
      </w:r>
      <w:r>
        <w:rPr>
          <w:rFonts w:hint="eastAsia" w:ascii="楷体" w:hAnsi="楷体" w:eastAsia="楷体" w:cs="楷体"/>
          <w:sz w:val="32"/>
          <w:szCs w:val="32"/>
        </w:rPr>
        <w:t>流通等企业向生产环节延伸产业链</w:t>
      </w:r>
      <w:r>
        <w:rPr>
          <w:rFonts w:ascii="楷体" w:hAnsi="楷体" w:eastAsia="楷体" w:cs="楷体"/>
          <w:sz w:val="32"/>
          <w:szCs w:val="32"/>
        </w:rPr>
        <w:t>，建设</w:t>
      </w:r>
      <w:r>
        <w:rPr>
          <w:rFonts w:hint="eastAsia" w:ascii="楷体" w:hAnsi="楷体" w:eastAsia="楷体" w:cs="楷体"/>
          <w:sz w:val="32"/>
          <w:szCs w:val="32"/>
        </w:rPr>
        <w:t>产地集配中心等流通基础设施。配备农产品</w:t>
      </w:r>
      <w:r>
        <w:rPr>
          <w:rFonts w:ascii="楷体" w:hAnsi="楷体" w:eastAsia="楷体" w:cs="楷体"/>
          <w:sz w:val="32"/>
          <w:szCs w:val="32"/>
        </w:rPr>
        <w:t>分级、</w:t>
      </w:r>
      <w:r>
        <w:rPr>
          <w:rFonts w:hint="eastAsia" w:ascii="楷体" w:hAnsi="楷体" w:eastAsia="楷体" w:cs="楷体"/>
          <w:sz w:val="32"/>
          <w:szCs w:val="32"/>
        </w:rPr>
        <w:t>加工、仓储、</w:t>
      </w:r>
      <w:r>
        <w:rPr>
          <w:rFonts w:ascii="楷体" w:hAnsi="楷体" w:eastAsia="楷体" w:cs="楷体"/>
          <w:sz w:val="32"/>
          <w:szCs w:val="32"/>
        </w:rPr>
        <w:t>包装</w:t>
      </w:r>
      <w:r>
        <w:rPr>
          <w:rFonts w:hint="eastAsia" w:ascii="楷体" w:hAnsi="楷体" w:eastAsia="楷体" w:cs="楷体"/>
          <w:sz w:val="32"/>
          <w:szCs w:val="32"/>
        </w:rPr>
        <w:t>、冷链</w:t>
      </w:r>
      <w:r>
        <w:rPr>
          <w:rFonts w:ascii="楷体" w:hAnsi="楷体" w:eastAsia="楷体" w:cs="楷体"/>
          <w:sz w:val="32"/>
          <w:szCs w:val="32"/>
        </w:rPr>
        <w:t>等</w:t>
      </w:r>
      <w:r>
        <w:rPr>
          <w:rFonts w:hint="eastAsia" w:ascii="楷体" w:hAnsi="楷体" w:eastAsia="楷体" w:cs="楷体"/>
          <w:sz w:val="32"/>
          <w:szCs w:val="32"/>
        </w:rPr>
        <w:t>商品化处理</w:t>
      </w:r>
      <w:r>
        <w:rPr>
          <w:rFonts w:ascii="楷体" w:hAnsi="楷体" w:eastAsia="楷体" w:cs="楷体"/>
          <w:sz w:val="32"/>
          <w:szCs w:val="32"/>
        </w:rPr>
        <w:t>设施设备，</w:t>
      </w:r>
      <w:r>
        <w:rPr>
          <w:rFonts w:hint="eastAsia" w:ascii="楷体" w:hAnsi="楷体" w:eastAsia="楷体" w:cs="楷体"/>
          <w:sz w:val="32"/>
          <w:szCs w:val="32"/>
        </w:rPr>
        <w:t>增强</w:t>
      </w:r>
      <w:r>
        <w:rPr>
          <w:rFonts w:ascii="楷体" w:hAnsi="楷体" w:eastAsia="楷体" w:cs="楷体"/>
          <w:sz w:val="32"/>
          <w:szCs w:val="32"/>
        </w:rPr>
        <w:t>农产品</w:t>
      </w:r>
      <w:r>
        <w:rPr>
          <w:rFonts w:hint="eastAsia" w:ascii="楷体" w:hAnsi="楷体" w:eastAsia="楷体" w:cs="楷体"/>
          <w:sz w:val="32"/>
          <w:szCs w:val="32"/>
        </w:rPr>
        <w:t>错峰上市和商品化处理能力，</w:t>
      </w:r>
      <w:r>
        <w:rPr>
          <w:rFonts w:ascii="楷体" w:hAnsi="楷体" w:eastAsia="楷体" w:cs="楷体"/>
          <w:sz w:val="32"/>
          <w:szCs w:val="32"/>
        </w:rPr>
        <w:t>把增值收益更多留在</w:t>
      </w:r>
      <w:r>
        <w:rPr>
          <w:rFonts w:hint="eastAsia" w:ascii="楷体" w:hAnsi="楷体" w:eastAsia="楷体" w:cs="楷体"/>
          <w:sz w:val="32"/>
          <w:szCs w:val="32"/>
        </w:rPr>
        <w:t>农村、留给农民</w:t>
      </w:r>
      <w:r>
        <w:rPr>
          <w:rFonts w:ascii="楷体" w:hAnsi="楷体" w:eastAsia="楷体" w:cs="楷体"/>
          <w:sz w:val="32"/>
          <w:szCs w:val="32"/>
        </w:rPr>
        <w:t>。</w:t>
      </w:r>
      <w:r>
        <w:rPr>
          <w:rFonts w:hint="eastAsia" w:ascii="楷体" w:hAnsi="楷体" w:eastAsia="楷体" w:cs="楷体"/>
          <w:sz w:val="32"/>
          <w:szCs w:val="32"/>
        </w:rPr>
        <w:t>”</w:t>
      </w:r>
    </w:p>
    <w:p>
      <w:pPr>
        <w:ind w:firstLine="640" w:firstLineChars="200"/>
        <w:rPr>
          <w:rFonts w:ascii="楷体" w:hAnsi="楷体" w:eastAsia="楷体" w:cs="楷体"/>
          <w:sz w:val="32"/>
          <w:szCs w:val="32"/>
        </w:rPr>
      </w:pPr>
      <w:r>
        <w:rPr>
          <w:rFonts w:hint="eastAsia" w:ascii="楷体" w:hAnsi="楷体" w:eastAsia="楷体" w:cs="楷体"/>
          <w:sz w:val="32"/>
          <w:szCs w:val="32"/>
        </w:rPr>
        <w:t>加强建设农产品产地冷链集配中心有助于提升农村农产品产品产地商品化的处理水平，缩小农村和城市在冷链物流配送体系方面的差距。农产品产地集配处理中心的建设符合国家对现代农业优质、高效、生态、安全的要求，并体现了现代农业科技对增加农产品竞争力、提高农业效益的巨大作用。</w:t>
      </w:r>
    </w:p>
    <w:p>
      <w:pPr>
        <w:ind w:firstLine="640" w:firstLineChars="200"/>
        <w:rPr>
          <w:rFonts w:ascii="楷体" w:hAnsi="楷体" w:eastAsia="楷体" w:cs="楷体"/>
          <w:sz w:val="32"/>
          <w:szCs w:val="32"/>
        </w:rPr>
      </w:pPr>
      <w:r>
        <w:rPr>
          <w:rFonts w:hint="eastAsia" w:ascii="楷体" w:hAnsi="楷体" w:eastAsia="楷体" w:cs="楷体"/>
          <w:sz w:val="32"/>
          <w:szCs w:val="32"/>
        </w:rPr>
        <w:t>目前，我国农产品产地冷链集配中心的运营主体是农产品产品经纪人或经纪公司、加工企业、流通企业以及农业合作社、家庭农场等其他新型农业主体。这些运营主体对于农产品产地冷链集配中心应满足的基本要求，并未有相关文件或标准能够供其参考。依托产地冷藏保鲜设施、产地交易市场等建设，在特色农产品主产区、冷链依存度较高的农产品种植区、农业产业园等，产地集配中心可加快农副产品流转，调节农副产品货架期，提升农副产品附加值，有效解决“最初一公里”难题。本标准规定农产品产地冷链集配中心的总体要求、功能区以及设备要求，农产品冷链集配中心的建设将对提升农产品冷链物流效率，保障产品质量和安全，支持农产品流通和市场拓展，实现供应链可追溯性，以及促进农业产业升级和农民增收等方面都具有重要意义。</w:t>
      </w:r>
    </w:p>
    <w:p>
      <w:pPr>
        <w:ind w:firstLine="640" w:firstLineChars="200"/>
        <w:rPr>
          <w:rFonts w:ascii="楷体" w:hAnsi="楷体" w:eastAsia="楷体" w:cs="楷体"/>
          <w:sz w:val="32"/>
          <w:szCs w:val="32"/>
        </w:rPr>
      </w:pPr>
      <w:r>
        <w:rPr>
          <w:rFonts w:hint="eastAsia"/>
          <w:sz w:val="32"/>
          <w:szCs w:val="32"/>
        </w:rPr>
        <w:t>（三）主要起草过程</w:t>
      </w:r>
    </w:p>
    <w:p>
      <w:pPr>
        <w:ind w:firstLine="640" w:firstLineChars="200"/>
        <w:rPr>
          <w:rFonts w:ascii="楷体" w:hAnsi="楷体" w:eastAsia="楷体" w:cs="楷体"/>
          <w:sz w:val="32"/>
          <w:szCs w:val="32"/>
        </w:rPr>
      </w:pPr>
      <w:r>
        <w:rPr>
          <w:rFonts w:hint="eastAsia" w:ascii="楷体" w:hAnsi="楷体" w:eastAsia="楷体" w:cs="楷体"/>
          <w:sz w:val="32"/>
          <w:szCs w:val="32"/>
        </w:rPr>
        <w:t>1.预研阶段</w:t>
      </w:r>
    </w:p>
    <w:p>
      <w:pPr>
        <w:ind w:firstLine="640" w:firstLineChars="200"/>
        <w:rPr>
          <w:rFonts w:ascii="楷体" w:hAnsi="楷体" w:eastAsia="楷体" w:cs="楷体"/>
          <w:sz w:val="32"/>
          <w:szCs w:val="32"/>
        </w:rPr>
      </w:pPr>
      <w:r>
        <w:rPr>
          <w:rFonts w:hint="eastAsia" w:ascii="楷体" w:hAnsi="楷体" w:eastAsia="楷体" w:cs="楷体"/>
          <w:sz w:val="32"/>
          <w:szCs w:val="32"/>
        </w:rPr>
        <w:t>2021年10月，中物联冷链委组织相关人员进行标准预研，开展政策文件等资料收集、文献检索、企业调研等工作，并完成标准草稿、推荐性行业标准项目建议书等相关材料，2021年12月标准工作组向全国物流标准化技术委员会提交标准立项申请书，进行立项申报。</w:t>
      </w:r>
    </w:p>
    <w:p>
      <w:pPr>
        <w:ind w:firstLine="640" w:firstLineChars="200"/>
        <w:rPr>
          <w:rFonts w:ascii="楷体" w:hAnsi="楷体" w:eastAsia="楷体" w:cs="楷体"/>
          <w:sz w:val="32"/>
          <w:szCs w:val="32"/>
        </w:rPr>
      </w:pPr>
      <w:r>
        <w:rPr>
          <w:rFonts w:hint="eastAsia" w:ascii="楷体" w:hAnsi="楷体" w:eastAsia="楷体" w:cs="楷体"/>
          <w:sz w:val="32"/>
          <w:szCs w:val="32"/>
        </w:rPr>
        <w:t>2.立项阶段</w:t>
      </w:r>
    </w:p>
    <w:p>
      <w:pPr>
        <w:ind w:firstLine="640" w:firstLineChars="200"/>
        <w:rPr>
          <w:rFonts w:ascii="楷体" w:hAnsi="楷体" w:eastAsia="楷体" w:cs="楷体"/>
          <w:sz w:val="32"/>
          <w:szCs w:val="32"/>
        </w:rPr>
      </w:pPr>
      <w:r>
        <w:rPr>
          <w:rFonts w:hint="eastAsia" w:ascii="楷体" w:hAnsi="楷体" w:eastAsia="楷体" w:cs="楷体"/>
          <w:sz w:val="32"/>
          <w:szCs w:val="32"/>
        </w:rPr>
        <w:t>2022年11月30日，国家发展改革委办公厅印发了《2021年推荐性物流行业标准项目计划的复函》（发改办经贸〔2022〕1002号），《农产品产地冷链集配中心基本要求》行业标准正式批准立项。</w:t>
      </w:r>
    </w:p>
    <w:p>
      <w:pPr>
        <w:ind w:firstLine="640" w:firstLineChars="200"/>
        <w:rPr>
          <w:rFonts w:ascii="楷体" w:hAnsi="楷体" w:eastAsia="楷体" w:cs="楷体"/>
          <w:sz w:val="32"/>
          <w:szCs w:val="32"/>
        </w:rPr>
      </w:pPr>
      <w:r>
        <w:rPr>
          <w:rFonts w:hint="eastAsia" w:ascii="楷体" w:hAnsi="楷体" w:eastAsia="楷体" w:cs="楷体"/>
          <w:sz w:val="32"/>
          <w:szCs w:val="32"/>
        </w:rPr>
        <w:t>3.起草阶段</w:t>
      </w:r>
    </w:p>
    <w:p>
      <w:pPr>
        <w:ind w:firstLine="640" w:firstLineChars="200"/>
        <w:rPr>
          <w:rFonts w:ascii="楷体" w:hAnsi="楷体" w:eastAsia="楷体" w:cs="楷体"/>
          <w:sz w:val="32"/>
          <w:szCs w:val="32"/>
        </w:rPr>
      </w:pPr>
      <w:r>
        <w:rPr>
          <w:rFonts w:hint="eastAsia" w:ascii="楷体" w:hAnsi="楷体" w:eastAsia="楷体" w:cs="楷体"/>
          <w:sz w:val="32"/>
          <w:szCs w:val="32"/>
        </w:rPr>
        <w:t>（1）2022年1月到2023年3月，此项标准面向社会公开征集起草单位。</w:t>
      </w:r>
    </w:p>
    <w:p>
      <w:pPr>
        <w:ind w:firstLine="640" w:firstLineChars="200"/>
        <w:rPr>
          <w:rFonts w:ascii="楷体" w:hAnsi="楷体" w:eastAsia="楷体" w:cs="楷体"/>
          <w:sz w:val="32"/>
          <w:szCs w:val="32"/>
        </w:rPr>
      </w:pPr>
      <w:r>
        <w:rPr>
          <w:rFonts w:hint="eastAsia" w:ascii="楷体" w:hAnsi="楷体" w:eastAsia="楷体" w:cs="楷体"/>
          <w:sz w:val="32"/>
          <w:szCs w:val="32"/>
        </w:rPr>
        <w:t>（2）2023年4月13日，标准启动会通过线上线下结合的方式召开。会议上各起草单位代表对该标准的范围、框架等内容进行了讨论，提出了诸多建设性的意见，会议的最后明确了标准制定的工作进度计划。</w:t>
      </w:r>
    </w:p>
    <w:p>
      <w:pPr>
        <w:ind w:firstLine="640" w:firstLineChars="200"/>
        <w:rPr>
          <w:rFonts w:ascii="楷体" w:hAnsi="楷体" w:eastAsia="楷体" w:cs="楷体"/>
          <w:sz w:val="32"/>
          <w:szCs w:val="32"/>
        </w:rPr>
      </w:pPr>
      <w:r>
        <w:rPr>
          <w:rFonts w:hint="eastAsia" w:ascii="楷体" w:hAnsi="楷体" w:eastAsia="楷体" w:cs="楷体"/>
          <w:sz w:val="32"/>
          <w:szCs w:val="32"/>
        </w:rPr>
        <w:t>（3）2023年4月-6月，根据起草组内部的意见，对标准初稿进行修改。在此期间主编写单位针对所收集到的信息，分析讨论后对相关标准内容进行完善，并形成工作组讨论稿（一稿）。</w:t>
      </w:r>
    </w:p>
    <w:p>
      <w:pPr>
        <w:ind w:firstLine="640" w:firstLineChars="200"/>
        <w:rPr>
          <w:rFonts w:ascii="楷体" w:hAnsi="楷体" w:eastAsia="楷体" w:cs="楷体"/>
          <w:sz w:val="32"/>
          <w:szCs w:val="32"/>
        </w:rPr>
      </w:pPr>
      <w:r>
        <w:rPr>
          <w:rFonts w:hint="eastAsia" w:ascii="楷体" w:hAnsi="楷体" w:eastAsia="楷体" w:cs="楷体"/>
          <w:sz w:val="32"/>
          <w:szCs w:val="32"/>
        </w:rPr>
        <w:t>（4）2023年7月-9月，在起草组内部开展了调研，起草组代表实地走访多家农产品产地集配中心，并将实际应用中的经验融合到标准文本中，形成工作组讨论稿（二稿）。</w:t>
      </w:r>
    </w:p>
    <w:p>
      <w:pPr>
        <w:ind w:firstLine="640" w:firstLineChars="200"/>
        <w:rPr>
          <w:rFonts w:ascii="楷体" w:hAnsi="楷体" w:eastAsia="楷体" w:cs="楷体"/>
          <w:sz w:val="32"/>
          <w:szCs w:val="32"/>
        </w:rPr>
      </w:pPr>
      <w:r>
        <w:rPr>
          <w:rFonts w:hint="eastAsia" w:ascii="楷体" w:hAnsi="楷体" w:eastAsia="楷体" w:cs="楷体"/>
          <w:sz w:val="32"/>
          <w:szCs w:val="32"/>
        </w:rPr>
        <w:t>（5）2023年10月，形成了征求意见稿，向全国物流标准化技术委员会提交征求意见稿及相关材料。</w:t>
      </w:r>
    </w:p>
    <w:p>
      <w:pPr>
        <w:ind w:firstLine="640" w:firstLineChars="200"/>
        <w:rPr>
          <w:sz w:val="32"/>
          <w:szCs w:val="32"/>
        </w:rPr>
      </w:pPr>
      <w:r>
        <w:rPr>
          <w:rFonts w:hint="eastAsia"/>
          <w:sz w:val="32"/>
          <w:szCs w:val="32"/>
        </w:rPr>
        <w:t>（四）起草单位、主要起草人及其所做的工作</w:t>
      </w:r>
    </w:p>
    <w:p>
      <w:pPr>
        <w:ind w:firstLine="640" w:firstLineChars="200"/>
        <w:rPr>
          <w:rFonts w:ascii="楷体" w:hAnsi="楷体" w:eastAsia="楷体" w:cs="楷体"/>
          <w:sz w:val="32"/>
          <w:szCs w:val="32"/>
        </w:rPr>
      </w:pPr>
      <w:r>
        <w:rPr>
          <w:rFonts w:hint="eastAsia" w:ascii="楷体" w:hAnsi="楷体" w:eastAsia="楷体" w:cs="楷体"/>
          <w:sz w:val="32"/>
          <w:szCs w:val="32"/>
        </w:rPr>
        <w:t>标准起草组具体分工如表1：</w:t>
      </w:r>
    </w:p>
    <w:p>
      <w:pPr>
        <w:widowControl/>
        <w:tabs>
          <w:tab w:val="left" w:pos="540"/>
        </w:tabs>
        <w:spacing w:line="276" w:lineRule="auto"/>
        <w:ind w:firstLine="359" w:firstLineChars="171"/>
        <w:contextualSpacing/>
        <w:jc w:val="center"/>
        <w:rPr>
          <w:rFonts w:ascii="宋体" w:hAnsi="宋体" w:eastAsia="宋体" w:cs="宋体"/>
          <w:kern w:val="0"/>
          <w:szCs w:val="21"/>
          <w:highlight w:val="yellow"/>
        </w:rPr>
      </w:pPr>
      <w:r>
        <w:rPr>
          <w:rFonts w:hint="eastAsia" w:ascii="宋体" w:hAnsi="宋体" w:eastAsia="宋体" w:cs="宋体"/>
          <w:kern w:val="0"/>
          <w:szCs w:val="21"/>
        </w:rPr>
        <w:t xml:space="preserve">表1 </w:t>
      </w:r>
      <w:r>
        <w:rPr>
          <w:rFonts w:hint="eastAsia"/>
        </w:rPr>
        <w:t>标准起草组</w:t>
      </w:r>
      <w:r>
        <w:rPr>
          <w:rFonts w:hint="eastAsia" w:ascii="宋体" w:hAnsi="宋体" w:eastAsia="宋体" w:cs="宋体"/>
          <w:kern w:val="0"/>
          <w:szCs w:val="21"/>
        </w:rPr>
        <w:t>分工</w:t>
      </w:r>
    </w:p>
    <w:tbl>
      <w:tblPr>
        <w:tblStyle w:val="6"/>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621"/>
        <w:gridCol w:w="2950"/>
        <w:gridCol w:w="1514"/>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950" w:type="dxa"/>
            <w:shd w:val="clear" w:color="000000" w:fill="auto"/>
            <w:vAlign w:val="center"/>
          </w:tcPr>
          <w:p>
            <w:pPr>
              <w:jc w:val="center"/>
              <w:rPr>
                <w:rFonts w:ascii="宋体" w:hAnsi="宋体" w:eastAsia="宋体" w:cs="宋体"/>
                <w:sz w:val="18"/>
                <w:szCs w:val="18"/>
              </w:rPr>
            </w:pPr>
            <w:r>
              <w:rPr>
                <w:rFonts w:hint="eastAsia" w:ascii="宋体" w:hAnsi="宋体" w:eastAsia="宋体" w:cs="宋体"/>
                <w:sz w:val="18"/>
                <w:szCs w:val="18"/>
              </w:rPr>
              <w:t>起草单位</w:t>
            </w:r>
          </w:p>
        </w:tc>
        <w:tc>
          <w:tcPr>
            <w:tcW w:w="1514" w:type="dxa"/>
            <w:shd w:val="clear" w:color="000000" w:fill="auto"/>
            <w:vAlign w:val="center"/>
          </w:tcPr>
          <w:p>
            <w:pPr>
              <w:jc w:val="center"/>
              <w:rPr>
                <w:rFonts w:ascii="宋体" w:hAnsi="宋体" w:eastAsia="宋体" w:cs="宋体"/>
                <w:sz w:val="18"/>
                <w:szCs w:val="18"/>
              </w:rPr>
            </w:pPr>
            <w:r>
              <w:rPr>
                <w:rFonts w:hint="eastAsia" w:ascii="宋体" w:hAnsi="宋体" w:eastAsia="宋体" w:cs="宋体"/>
                <w:sz w:val="18"/>
                <w:szCs w:val="18"/>
              </w:rPr>
              <w:t>起草人</w:t>
            </w:r>
          </w:p>
        </w:tc>
        <w:tc>
          <w:tcPr>
            <w:tcW w:w="3436" w:type="dxa"/>
            <w:shd w:val="clear" w:color="000000" w:fill="auto"/>
            <w:vAlign w:val="center"/>
          </w:tcPr>
          <w:p>
            <w:pPr>
              <w:jc w:val="center"/>
              <w:rPr>
                <w:rFonts w:ascii="宋体" w:hAnsi="宋体" w:eastAsia="宋体" w:cs="宋体"/>
                <w:sz w:val="18"/>
                <w:szCs w:val="18"/>
              </w:rPr>
            </w:pPr>
            <w:r>
              <w:rPr>
                <w:rFonts w:hint="eastAsia" w:ascii="宋体" w:hAnsi="宋体" w:eastAsia="宋体" w:cs="宋体"/>
                <w:sz w:val="18"/>
                <w:szCs w:val="1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中国物流与采购联合会冷链物流专业委员会</w:t>
            </w:r>
          </w:p>
        </w:tc>
        <w:tc>
          <w:tcPr>
            <w:tcW w:w="1514" w:type="dxa"/>
            <w:shd w:val="clear" w:color="000000" w:fill="auto"/>
            <w:vAlign w:val="center"/>
          </w:tcPr>
          <w:p>
            <w:pPr>
              <w:jc w:val="left"/>
              <w:rPr>
                <w:rFonts w:ascii="宋体" w:hAnsi="宋体" w:cs="宋体"/>
                <w:sz w:val="18"/>
                <w:szCs w:val="18"/>
              </w:rPr>
            </w:pPr>
            <w:r>
              <w:rPr>
                <w:rFonts w:hint="eastAsia" w:ascii="宋体" w:hAnsi="宋体" w:eastAsia="宋体" w:cs="宋体"/>
                <w:sz w:val="18"/>
                <w:szCs w:val="18"/>
              </w:rPr>
              <w:t>秦玉鸣</w:t>
            </w:r>
          </w:p>
        </w:tc>
        <w:tc>
          <w:tcPr>
            <w:tcW w:w="3436"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标准提出单位，参与各组词条讨论，负责标准的汇总、初审，提出标准编写的建议，负责标准的质量把关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中国物流与采购联合会食材供应链分会</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于凤龙</w:t>
            </w:r>
          </w:p>
        </w:tc>
        <w:tc>
          <w:tcPr>
            <w:tcW w:w="3436" w:type="dxa"/>
            <w:shd w:val="clear" w:color="000000" w:fill="auto"/>
            <w:vAlign w:val="center"/>
          </w:tcPr>
          <w:p>
            <w:pPr>
              <w:jc w:val="left"/>
              <w:rPr>
                <w:rFonts w:ascii="宋体" w:hAnsi="宋体" w:eastAsia="宋体" w:cs="宋体"/>
                <w:sz w:val="18"/>
                <w:szCs w:val="18"/>
              </w:rPr>
            </w:pPr>
            <w:r>
              <w:rPr>
                <w:rFonts w:hint="eastAsia" w:ascii="宋体" w:hAnsi="宋体" w:eastAsia="宋体" w:cs="宋体"/>
                <w:kern w:val="0"/>
                <w:sz w:val="18"/>
                <w:szCs w:val="18"/>
              </w:rPr>
              <w:t>参与起草组的研讨，参加标准的调研，提出修改意见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山东商业职业技术学院</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郭风军、隋青、邹泽宇、张长峰</w:t>
            </w:r>
          </w:p>
        </w:tc>
        <w:tc>
          <w:tcPr>
            <w:tcW w:w="3436"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标准主编写，负责标准内容的起草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北京中物冷联企业管理有限公司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刘飞、王晓晓、崔爽、刘丽娜、陈玉勇</w:t>
            </w:r>
          </w:p>
        </w:tc>
        <w:tc>
          <w:tcPr>
            <w:tcW w:w="3436" w:type="dxa"/>
            <w:shd w:val="clear" w:color="000000" w:fill="auto"/>
            <w:vAlign w:val="center"/>
          </w:tcPr>
          <w:p>
            <w:pPr>
              <w:jc w:val="left"/>
              <w:rPr>
                <w:rFonts w:ascii="宋体" w:hAnsi="宋体" w:eastAsia="宋体" w:cs="宋体"/>
                <w:sz w:val="18"/>
                <w:szCs w:val="18"/>
              </w:rPr>
            </w:pPr>
            <w:r>
              <w:rPr>
                <w:rFonts w:hint="eastAsia" w:ascii="宋体" w:hAnsi="宋体" w:eastAsia="宋体" w:cs="宋体"/>
                <w:kern w:val="0"/>
                <w:sz w:val="18"/>
                <w:szCs w:val="18"/>
              </w:rPr>
              <w:t>组织开展调研、讨论，提出修改意见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农业农村部规划设计研究院</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孙静、陈全</w:t>
            </w:r>
          </w:p>
        </w:tc>
        <w:tc>
          <w:tcPr>
            <w:tcW w:w="3436" w:type="dxa"/>
            <w:shd w:val="clear" w:color="000000" w:fill="auto"/>
            <w:vAlign w:val="center"/>
          </w:tcPr>
          <w:p>
            <w:pPr>
              <w:jc w:val="left"/>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广东新供销天业冷链集团有限公司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刘生焱</w:t>
            </w:r>
          </w:p>
        </w:tc>
        <w:tc>
          <w:tcPr>
            <w:tcW w:w="3436" w:type="dxa"/>
            <w:shd w:val="clear" w:color="000000"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佛山渔融农业科技有限公司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王丁旺</w:t>
            </w:r>
          </w:p>
        </w:tc>
        <w:tc>
          <w:tcPr>
            <w:tcW w:w="3436" w:type="dxa"/>
            <w:shd w:val="clear" w:color="000000"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上海万纬冷链物流有限公司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陈君城</w:t>
            </w:r>
          </w:p>
        </w:tc>
        <w:tc>
          <w:tcPr>
            <w:tcW w:w="3436" w:type="dxa"/>
            <w:shd w:val="clear" w:color="000000"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rPr>
            </w:pPr>
            <w:r>
              <w:rPr>
                <w:rFonts w:hint="eastAsia" w:ascii="宋体" w:hAnsi="宋体" w:eastAsia="宋体" w:cs="宋体"/>
                <w:sz w:val="18"/>
                <w:szCs w:val="18"/>
              </w:rPr>
              <w:t>鲜生活冷链物流有限公司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王昉</w:t>
            </w:r>
          </w:p>
        </w:tc>
        <w:tc>
          <w:tcPr>
            <w:tcW w:w="3436" w:type="dxa"/>
            <w:shd w:val="clear" w:color="000000"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rPr>
            </w:pPr>
            <w:r>
              <w:rPr>
                <w:rFonts w:hint="eastAsia" w:ascii="宋体" w:hAnsi="宋体" w:eastAsia="宋体" w:cs="宋体"/>
                <w:sz w:val="18"/>
                <w:szCs w:val="18"/>
              </w:rPr>
              <w:t>中化学冷链物流有限公司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贾惠云</w:t>
            </w:r>
          </w:p>
        </w:tc>
        <w:tc>
          <w:tcPr>
            <w:tcW w:w="3436" w:type="dxa"/>
            <w:shd w:val="clear" w:color="000000"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rPr>
            </w:pPr>
            <w:r>
              <w:rPr>
                <w:rFonts w:hint="eastAsia" w:ascii="宋体" w:hAnsi="宋体" w:eastAsia="宋体" w:cs="宋体"/>
                <w:sz w:val="18"/>
                <w:szCs w:val="18"/>
              </w:rPr>
              <w:t>德州远华物流有限公司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王健路</w:t>
            </w:r>
          </w:p>
        </w:tc>
        <w:tc>
          <w:tcPr>
            <w:tcW w:w="3436" w:type="dxa"/>
            <w:shd w:val="clear" w:color="000000"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rPr>
            </w:pPr>
            <w:r>
              <w:rPr>
                <w:rFonts w:hint="eastAsia" w:ascii="宋体" w:hAnsi="宋体" w:eastAsia="宋体" w:cs="宋体"/>
                <w:sz w:val="18"/>
                <w:szCs w:val="18"/>
                <w:lang w:bidi="ar"/>
              </w:rPr>
              <w:t>世界自然基金会（瑞士）北京代表处</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于鑫</w:t>
            </w:r>
          </w:p>
        </w:tc>
        <w:tc>
          <w:tcPr>
            <w:tcW w:w="3436" w:type="dxa"/>
            <w:shd w:val="clear" w:color="000000"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sz w:val="18"/>
                <w:szCs w:val="18"/>
                <w:lang w:bidi="ar"/>
              </w:rPr>
              <w:t>威凯检测技术有限公司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陈泽鹏</w:t>
            </w:r>
          </w:p>
        </w:tc>
        <w:tc>
          <w:tcPr>
            <w:tcW w:w="3436" w:type="dxa"/>
            <w:shd w:val="clear" w:color="000000" w:fill="auto"/>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rPr>
            </w:pPr>
            <w:r>
              <w:rPr>
                <w:rFonts w:hint="eastAsia" w:ascii="宋体" w:hAnsi="宋体" w:eastAsia="宋体" w:cs="宋体"/>
                <w:sz w:val="18"/>
                <w:szCs w:val="18"/>
                <w:lang w:bidi="ar"/>
              </w:rPr>
              <w:t>安徽鑫合机电设备有限公司</w:t>
            </w:r>
          </w:p>
        </w:tc>
        <w:tc>
          <w:tcPr>
            <w:tcW w:w="1514" w:type="dxa"/>
            <w:shd w:val="clear" w:color="000000" w:fill="auto"/>
            <w:vAlign w:val="center"/>
          </w:tcPr>
          <w:p>
            <w:pPr>
              <w:jc w:val="left"/>
              <w:rPr>
                <w:rFonts w:ascii="宋体" w:hAnsi="宋体" w:eastAsia="宋体" w:cs="宋体"/>
                <w:sz w:val="18"/>
                <w:szCs w:val="18"/>
              </w:rPr>
            </w:pPr>
            <w:r>
              <w:rPr>
                <w:rFonts w:hint="eastAsia" w:ascii="宋体" w:hAnsi="宋体" w:eastAsia="宋体" w:cs="宋体"/>
                <w:sz w:val="18"/>
                <w:szCs w:val="18"/>
              </w:rPr>
              <w:t>曹克忠</w:t>
            </w:r>
          </w:p>
        </w:tc>
        <w:tc>
          <w:tcPr>
            <w:tcW w:w="3436" w:type="dxa"/>
            <w:shd w:val="clear" w:color="000000" w:fill="auto"/>
            <w:vAlign w:val="center"/>
          </w:tcPr>
          <w:p>
            <w:pPr>
              <w:jc w:val="left"/>
              <w:rPr>
                <w:rFonts w:ascii="宋体" w:hAnsi="宋体" w:eastAsia="宋体" w:cs="宋体"/>
                <w:sz w:val="18"/>
                <w:szCs w:val="18"/>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sz w:val="18"/>
                <w:szCs w:val="18"/>
                <w:lang w:bidi="ar"/>
              </w:rPr>
              <w:t>陶郎分选技术（厦门）有限公司</w:t>
            </w:r>
          </w:p>
        </w:tc>
        <w:tc>
          <w:tcPr>
            <w:tcW w:w="1514"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sz w:val="18"/>
                <w:szCs w:val="18"/>
                <w:lang w:bidi="ar"/>
              </w:rPr>
              <w:t>蔡虹</w:t>
            </w:r>
          </w:p>
        </w:tc>
        <w:tc>
          <w:tcPr>
            <w:tcW w:w="3436"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sz w:val="18"/>
                <w:szCs w:val="18"/>
                <w:lang w:bidi="ar"/>
              </w:rPr>
              <w:t>石家庄久鼎制冷空调设备有限公司</w:t>
            </w:r>
          </w:p>
        </w:tc>
        <w:tc>
          <w:tcPr>
            <w:tcW w:w="1514"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sz w:val="18"/>
                <w:szCs w:val="18"/>
                <w:lang w:bidi="ar"/>
              </w:rPr>
              <w:t>李文强</w:t>
            </w:r>
          </w:p>
        </w:tc>
        <w:tc>
          <w:tcPr>
            <w:tcW w:w="3436"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21" w:type="dxa"/>
            <w:shd w:val="clear" w:color="000000" w:fill="auto"/>
            <w:vAlign w:val="center"/>
          </w:tcPr>
          <w:p>
            <w:pPr>
              <w:numPr>
                <w:ilvl w:val="0"/>
                <w:numId w:val="1"/>
              </w:numPr>
              <w:rPr>
                <w:rFonts w:ascii="宋体" w:hAnsi="宋体" w:eastAsia="宋体" w:cs="宋体"/>
                <w:sz w:val="18"/>
                <w:szCs w:val="18"/>
              </w:rPr>
            </w:pPr>
          </w:p>
        </w:tc>
        <w:tc>
          <w:tcPr>
            <w:tcW w:w="2950"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sz w:val="18"/>
                <w:szCs w:val="18"/>
                <w:lang w:bidi="ar"/>
              </w:rPr>
              <w:t>浙江雪波蓝科技有限公司</w:t>
            </w:r>
          </w:p>
        </w:tc>
        <w:tc>
          <w:tcPr>
            <w:tcW w:w="1514"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sz w:val="18"/>
                <w:szCs w:val="18"/>
                <w:lang w:bidi="ar"/>
              </w:rPr>
              <w:t>陈倍</w:t>
            </w:r>
          </w:p>
        </w:tc>
        <w:tc>
          <w:tcPr>
            <w:tcW w:w="3436" w:type="dxa"/>
            <w:shd w:val="clear" w:color="000000" w:fill="auto"/>
            <w:vAlign w:val="center"/>
          </w:tcPr>
          <w:p>
            <w:pPr>
              <w:widowControl/>
              <w:jc w:val="left"/>
              <w:rPr>
                <w:rFonts w:ascii="宋体" w:hAnsi="宋体" w:eastAsia="宋体" w:cs="宋体"/>
                <w:sz w:val="18"/>
                <w:szCs w:val="18"/>
                <w:lang w:bidi="ar"/>
              </w:rPr>
            </w:pPr>
            <w:r>
              <w:rPr>
                <w:rFonts w:hint="eastAsia" w:ascii="宋体" w:hAnsi="宋体" w:eastAsia="宋体" w:cs="宋体"/>
                <w:kern w:val="0"/>
                <w:sz w:val="18"/>
                <w:szCs w:val="18"/>
              </w:rPr>
              <w:t>参与起草组的研讨、</w:t>
            </w:r>
            <w:r>
              <w:rPr>
                <w:rFonts w:hint="eastAsia" w:ascii="宋体" w:hAnsi="宋体" w:eastAsia="宋体" w:cs="宋体"/>
                <w:sz w:val="18"/>
                <w:szCs w:val="18"/>
              </w:rPr>
              <w:t>论证，提出修改意见</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二、编制原则、主要内容及其确定的来源和依据</w:t>
      </w:r>
    </w:p>
    <w:p>
      <w:pPr>
        <w:ind w:firstLine="640" w:firstLineChars="200"/>
        <w:rPr>
          <w:sz w:val="32"/>
          <w:szCs w:val="32"/>
        </w:rPr>
      </w:pPr>
      <w:r>
        <w:rPr>
          <w:rFonts w:hint="eastAsia"/>
          <w:sz w:val="32"/>
          <w:szCs w:val="32"/>
        </w:rPr>
        <w:t>（一）编制原则</w:t>
      </w:r>
    </w:p>
    <w:p>
      <w:pPr>
        <w:ind w:firstLine="640" w:firstLineChars="200"/>
        <w:rPr>
          <w:rFonts w:ascii="楷体" w:hAnsi="楷体" w:eastAsia="楷体" w:cs="楷体"/>
          <w:sz w:val="32"/>
          <w:szCs w:val="32"/>
        </w:rPr>
      </w:pPr>
      <w:r>
        <w:rPr>
          <w:rFonts w:hint="eastAsia" w:ascii="楷体" w:hAnsi="楷体" w:eastAsia="楷体" w:cs="楷体"/>
          <w:sz w:val="32"/>
          <w:szCs w:val="32"/>
        </w:rPr>
        <w:t>1.规范性原则</w:t>
      </w:r>
    </w:p>
    <w:p>
      <w:pPr>
        <w:ind w:firstLine="640" w:firstLineChars="200"/>
        <w:rPr>
          <w:rFonts w:ascii="楷体" w:hAnsi="楷体" w:eastAsia="楷体" w:cs="楷体"/>
          <w:sz w:val="32"/>
          <w:szCs w:val="32"/>
        </w:rPr>
      </w:pPr>
      <w:r>
        <w:rPr>
          <w:rFonts w:hint="eastAsia" w:ascii="楷体" w:hAnsi="楷体" w:eastAsia="楷体" w:cs="楷体"/>
          <w:sz w:val="32"/>
          <w:szCs w:val="32"/>
        </w:rPr>
        <w:t>本文件严格按照《GB/T 1.1-2020 标准化工作导则 第1部分：标准化文件的结构和起草规则》编写。</w:t>
      </w:r>
    </w:p>
    <w:p>
      <w:pPr>
        <w:ind w:firstLine="640" w:firstLineChars="200"/>
        <w:rPr>
          <w:rFonts w:ascii="楷体" w:hAnsi="楷体" w:eastAsia="楷体" w:cs="楷体"/>
          <w:sz w:val="32"/>
          <w:szCs w:val="32"/>
        </w:rPr>
      </w:pPr>
      <w:r>
        <w:rPr>
          <w:rFonts w:hint="eastAsia" w:ascii="楷体" w:hAnsi="楷体" w:eastAsia="楷体" w:cs="楷体"/>
          <w:sz w:val="32"/>
          <w:szCs w:val="32"/>
        </w:rPr>
        <w:t>2.适用性原则</w:t>
      </w:r>
    </w:p>
    <w:p>
      <w:pPr>
        <w:ind w:firstLine="640" w:firstLineChars="200"/>
        <w:rPr>
          <w:rFonts w:ascii="楷体" w:hAnsi="楷体" w:eastAsia="楷体" w:cs="楷体"/>
          <w:sz w:val="32"/>
          <w:szCs w:val="32"/>
        </w:rPr>
      </w:pPr>
      <w:r>
        <w:rPr>
          <w:rFonts w:hint="eastAsia" w:ascii="楷体" w:hAnsi="楷体" w:eastAsia="楷体" w:cs="楷体"/>
          <w:sz w:val="32"/>
          <w:szCs w:val="32"/>
        </w:rPr>
        <w:t>充分听取企业意见，召开研讨会和实地调研等方式，尽可能全面的了解我国产地冷链物流发展现状，使标准内容科学、合理、适用，为农产品产地冷链质量提升以及保障食品质量安全和群众身体健康提供服务。</w:t>
      </w:r>
    </w:p>
    <w:p>
      <w:pPr>
        <w:ind w:firstLine="640" w:firstLineChars="200"/>
        <w:rPr>
          <w:rFonts w:ascii="楷体" w:hAnsi="楷体" w:eastAsia="楷体" w:cs="楷体"/>
          <w:sz w:val="32"/>
          <w:szCs w:val="32"/>
        </w:rPr>
      </w:pPr>
      <w:r>
        <w:rPr>
          <w:rFonts w:hint="eastAsia" w:ascii="楷体" w:hAnsi="楷体" w:eastAsia="楷体" w:cs="楷体"/>
          <w:sz w:val="32"/>
          <w:szCs w:val="32"/>
        </w:rPr>
        <w:t>3.与其他标准协调一致原则</w:t>
      </w:r>
    </w:p>
    <w:p>
      <w:pPr>
        <w:ind w:firstLine="640" w:firstLineChars="200"/>
        <w:rPr>
          <w:sz w:val="32"/>
          <w:szCs w:val="32"/>
        </w:rPr>
      </w:pPr>
      <w:r>
        <w:rPr>
          <w:rFonts w:hint="eastAsia" w:ascii="楷体" w:hAnsi="楷体" w:eastAsia="楷体" w:cs="楷体"/>
          <w:sz w:val="32"/>
          <w:szCs w:val="32"/>
        </w:rPr>
        <w:t>标准起草过程中，起草组细致研究了我国多项冷链物流、产地冷链、集配中心、物流园区等物流领域相关的国家标准和行业标准，在标准内容上做到与这些标准保持协调一致。</w:t>
      </w:r>
    </w:p>
    <w:p>
      <w:pPr>
        <w:ind w:firstLine="640" w:firstLineChars="200"/>
        <w:rPr>
          <w:rFonts w:ascii="楷体" w:hAnsi="楷体" w:eastAsia="楷体" w:cs="楷体"/>
          <w:sz w:val="32"/>
          <w:szCs w:val="32"/>
        </w:rPr>
      </w:pPr>
      <w:r>
        <w:rPr>
          <w:rFonts w:hint="eastAsia"/>
          <w:sz w:val="32"/>
          <w:szCs w:val="32"/>
        </w:rPr>
        <w:t>（二）主要内容及其确定依据</w:t>
      </w:r>
    </w:p>
    <w:p>
      <w:pPr>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 </w:t>
      </w:r>
      <w:r>
        <w:rPr>
          <w:rFonts w:hint="eastAsia" w:ascii="楷体" w:hAnsi="楷体" w:eastAsia="楷体" w:cs="楷体"/>
          <w:sz w:val="32"/>
          <w:szCs w:val="32"/>
        </w:rPr>
        <w:t>范围</w:t>
      </w:r>
    </w:p>
    <w:p>
      <w:pPr>
        <w:ind w:firstLine="640" w:firstLineChars="200"/>
        <w:rPr>
          <w:rFonts w:ascii="楷体" w:hAnsi="楷体" w:eastAsia="楷体" w:cs="楷体"/>
          <w:sz w:val="32"/>
          <w:szCs w:val="32"/>
        </w:rPr>
      </w:pPr>
      <w:r>
        <w:rPr>
          <w:rFonts w:ascii="楷体" w:hAnsi="楷体" w:eastAsia="楷体" w:cs="楷体"/>
          <w:sz w:val="32"/>
          <w:szCs w:val="32"/>
        </w:rPr>
        <w:t>本文件规定了</w:t>
      </w:r>
      <w:r>
        <w:rPr>
          <w:rFonts w:hint="eastAsia" w:ascii="楷体" w:hAnsi="楷体" w:eastAsia="楷体" w:cs="楷体"/>
          <w:sz w:val="32"/>
          <w:szCs w:val="32"/>
        </w:rPr>
        <w:t>农产品产地冷链集配中心的总体规划要求、卫生与安全要求、功能区建设要求、设备要求以及信息系统要求。</w:t>
      </w:r>
      <w:r>
        <w:rPr>
          <w:rFonts w:ascii="楷体" w:hAnsi="楷体" w:eastAsia="楷体" w:cs="楷体"/>
          <w:sz w:val="32"/>
          <w:szCs w:val="32"/>
        </w:rPr>
        <w:t>本文件</w:t>
      </w:r>
      <w:r>
        <w:rPr>
          <w:rFonts w:hint="eastAsia" w:ascii="楷体" w:hAnsi="楷体" w:eastAsia="楷体" w:cs="楷体"/>
          <w:sz w:val="32"/>
          <w:szCs w:val="32"/>
        </w:rPr>
        <w:t>适用于农产品产地冷链集配中心的建设和管理。</w:t>
      </w:r>
    </w:p>
    <w:p>
      <w:pPr>
        <w:ind w:firstLine="640" w:firstLineChars="200"/>
        <w:rPr>
          <w:rFonts w:ascii="楷体" w:hAnsi="楷体" w:eastAsia="楷体" w:cs="楷体"/>
          <w:sz w:val="32"/>
          <w:szCs w:val="32"/>
        </w:rPr>
      </w:pPr>
      <w:r>
        <w:rPr>
          <w:rFonts w:hint="eastAsia" w:ascii="楷体" w:hAnsi="楷体" w:eastAsia="楷体" w:cs="楷体"/>
          <w:sz w:val="32"/>
          <w:szCs w:val="32"/>
        </w:rPr>
        <w:t>2</w:t>
      </w:r>
      <w:r>
        <w:rPr>
          <w:rFonts w:ascii="楷体" w:hAnsi="楷体" w:eastAsia="楷体" w:cs="楷体"/>
          <w:sz w:val="32"/>
          <w:szCs w:val="32"/>
        </w:rPr>
        <w:t xml:space="preserve"> </w:t>
      </w:r>
      <w:r>
        <w:rPr>
          <w:rFonts w:hint="eastAsia" w:ascii="楷体" w:hAnsi="楷体" w:eastAsia="楷体" w:cs="楷体"/>
          <w:sz w:val="32"/>
          <w:szCs w:val="32"/>
        </w:rPr>
        <w:t>规范性引用文件</w:t>
      </w:r>
    </w:p>
    <w:p>
      <w:pPr>
        <w:ind w:firstLine="640" w:firstLineChars="200"/>
        <w:rPr>
          <w:rFonts w:ascii="楷体" w:hAnsi="楷体" w:eastAsia="楷体" w:cs="楷体"/>
          <w:sz w:val="32"/>
          <w:szCs w:val="32"/>
        </w:rPr>
      </w:pPr>
      <w:r>
        <w:rPr>
          <w:rFonts w:hint="eastAsia" w:ascii="楷体" w:hAnsi="楷体" w:eastAsia="楷体" w:cs="楷体"/>
          <w:sz w:val="32"/>
          <w:szCs w:val="32"/>
        </w:rPr>
        <w:t>GB 14881 食品安全国家标准 食品生产通用卫生规范</w:t>
      </w:r>
    </w:p>
    <w:p>
      <w:pPr>
        <w:ind w:firstLine="640" w:firstLineChars="200"/>
        <w:rPr>
          <w:rFonts w:ascii="楷体" w:hAnsi="楷体" w:eastAsia="楷体" w:cs="楷体"/>
          <w:sz w:val="32"/>
          <w:szCs w:val="32"/>
        </w:rPr>
      </w:pPr>
      <w:r>
        <w:rPr>
          <w:rFonts w:hint="eastAsia" w:ascii="楷体" w:hAnsi="楷体" w:eastAsia="楷体" w:cs="楷体"/>
          <w:sz w:val="32"/>
          <w:szCs w:val="32"/>
        </w:rPr>
        <w:t>GB/T 21334-2017 物流园区分类与规划基本要求</w:t>
      </w:r>
    </w:p>
    <w:p>
      <w:pPr>
        <w:ind w:firstLine="640" w:firstLineChars="200"/>
        <w:rPr>
          <w:rFonts w:ascii="楷体" w:hAnsi="楷体" w:eastAsia="楷体" w:cs="楷体"/>
          <w:sz w:val="32"/>
          <w:szCs w:val="32"/>
        </w:rPr>
      </w:pPr>
      <w:r>
        <w:rPr>
          <w:rFonts w:hint="eastAsia" w:ascii="楷体" w:hAnsi="楷体" w:eastAsia="楷体" w:cs="楷体"/>
          <w:sz w:val="32"/>
          <w:szCs w:val="32"/>
        </w:rPr>
        <w:t>GB/T 30134 冷库管理规范</w:t>
      </w:r>
    </w:p>
    <w:p>
      <w:pPr>
        <w:ind w:firstLine="640" w:firstLineChars="200"/>
        <w:rPr>
          <w:rFonts w:ascii="楷体" w:hAnsi="楷体" w:eastAsia="楷体" w:cs="楷体"/>
          <w:sz w:val="32"/>
          <w:szCs w:val="32"/>
        </w:rPr>
      </w:pPr>
      <w:r>
        <w:rPr>
          <w:rFonts w:hint="eastAsia" w:ascii="楷体" w:hAnsi="楷体" w:eastAsia="楷体" w:cs="楷体"/>
          <w:sz w:val="32"/>
          <w:szCs w:val="32"/>
        </w:rPr>
        <w:t>GB 31605 食品安全国家标准 食品冷链物流卫生规范</w:t>
      </w:r>
    </w:p>
    <w:p>
      <w:pPr>
        <w:ind w:firstLine="640" w:firstLineChars="200"/>
        <w:rPr>
          <w:rFonts w:ascii="楷体" w:hAnsi="楷体" w:eastAsia="楷体" w:cs="楷体"/>
          <w:sz w:val="32"/>
          <w:szCs w:val="32"/>
        </w:rPr>
      </w:pPr>
      <w:r>
        <w:rPr>
          <w:rFonts w:hint="eastAsia" w:ascii="楷体" w:hAnsi="楷体" w:eastAsia="楷体" w:cs="楷体"/>
          <w:sz w:val="32"/>
          <w:szCs w:val="32"/>
        </w:rPr>
        <w:t>GB 31621 食品安全国家标准 食品经营过程卫生规范</w:t>
      </w:r>
    </w:p>
    <w:p>
      <w:pPr>
        <w:ind w:firstLine="640" w:firstLineChars="200"/>
        <w:rPr>
          <w:rFonts w:ascii="楷体" w:hAnsi="楷体" w:eastAsia="楷体" w:cs="楷体"/>
          <w:sz w:val="32"/>
          <w:szCs w:val="32"/>
        </w:rPr>
      </w:pPr>
      <w:r>
        <w:rPr>
          <w:rFonts w:hint="eastAsia" w:ascii="楷体" w:hAnsi="楷体" w:eastAsia="楷体" w:cs="楷体"/>
          <w:sz w:val="32"/>
          <w:szCs w:val="32"/>
        </w:rPr>
        <w:t>GB/T 37106 托盘单元化物流系统 托盘设计准则</w:t>
      </w:r>
    </w:p>
    <w:p>
      <w:pPr>
        <w:ind w:firstLine="640" w:firstLineChars="200"/>
        <w:rPr>
          <w:rFonts w:ascii="楷体" w:hAnsi="楷体" w:eastAsia="楷体" w:cs="楷体"/>
          <w:sz w:val="32"/>
          <w:szCs w:val="32"/>
        </w:rPr>
      </w:pPr>
      <w:r>
        <w:rPr>
          <w:rFonts w:hint="eastAsia" w:ascii="楷体" w:hAnsi="楷体" w:eastAsia="楷体" w:cs="楷体"/>
          <w:sz w:val="32"/>
          <w:szCs w:val="32"/>
        </w:rPr>
        <w:t>GB/T 39907 果蔬类周转箱尺寸系列及技术要求</w:t>
      </w:r>
    </w:p>
    <w:p>
      <w:pPr>
        <w:ind w:firstLine="640" w:firstLineChars="200"/>
        <w:rPr>
          <w:rFonts w:ascii="楷体" w:hAnsi="楷体" w:eastAsia="楷体" w:cs="楷体"/>
          <w:sz w:val="32"/>
          <w:szCs w:val="32"/>
        </w:rPr>
      </w:pPr>
      <w:r>
        <w:rPr>
          <w:rFonts w:hint="eastAsia" w:ascii="楷体" w:hAnsi="楷体" w:eastAsia="楷体" w:cs="楷体"/>
          <w:sz w:val="32"/>
          <w:szCs w:val="32"/>
        </w:rPr>
        <w:t>DG/T 294 果蔬预冷设备</w:t>
      </w:r>
    </w:p>
    <w:p>
      <w:pPr>
        <w:ind w:firstLine="640" w:firstLineChars="200"/>
        <w:rPr>
          <w:rFonts w:ascii="楷体" w:hAnsi="楷体" w:eastAsia="楷体" w:cs="楷体"/>
          <w:sz w:val="32"/>
          <w:szCs w:val="32"/>
        </w:rPr>
      </w:pPr>
      <w:r>
        <w:rPr>
          <w:rFonts w:hint="eastAsia" w:ascii="楷体" w:hAnsi="楷体" w:eastAsia="楷体" w:cs="楷体"/>
          <w:sz w:val="32"/>
          <w:szCs w:val="32"/>
        </w:rPr>
        <w:t>WB/T 1076 冷库用货架</w:t>
      </w:r>
    </w:p>
    <w:p>
      <w:pPr>
        <w:ind w:firstLine="640" w:firstLineChars="200"/>
        <w:rPr>
          <w:rFonts w:ascii="楷体" w:hAnsi="楷体" w:eastAsia="楷体" w:cs="楷体"/>
          <w:sz w:val="32"/>
          <w:szCs w:val="32"/>
        </w:rPr>
      </w:pPr>
      <w:r>
        <w:rPr>
          <w:rFonts w:hint="eastAsia" w:ascii="楷体" w:hAnsi="楷体" w:eastAsia="楷体" w:cs="楷体"/>
          <w:sz w:val="32"/>
          <w:szCs w:val="32"/>
        </w:rPr>
        <w:t>NY/T 4168 果蔬预冷技术规范</w:t>
      </w:r>
    </w:p>
    <w:p>
      <w:pPr>
        <w:ind w:firstLine="640" w:firstLineChars="200"/>
        <w:rPr>
          <w:rFonts w:ascii="楷体" w:hAnsi="楷体" w:eastAsia="楷体" w:cs="楷体"/>
          <w:sz w:val="32"/>
          <w:szCs w:val="32"/>
        </w:rPr>
      </w:pPr>
      <w:r>
        <w:rPr>
          <w:rFonts w:hint="eastAsia" w:ascii="楷体" w:hAnsi="楷体" w:eastAsia="楷体" w:cs="楷体"/>
          <w:sz w:val="32"/>
          <w:szCs w:val="32"/>
        </w:rPr>
        <w:t>3 术语和定义</w:t>
      </w:r>
    </w:p>
    <w:p>
      <w:pPr>
        <w:ind w:firstLine="640" w:firstLineChars="200"/>
        <w:rPr>
          <w:rFonts w:ascii="楷体" w:hAnsi="楷体" w:eastAsia="楷体" w:cs="楷体"/>
          <w:sz w:val="32"/>
          <w:szCs w:val="32"/>
        </w:rPr>
      </w:pPr>
      <w:r>
        <w:rPr>
          <w:rFonts w:hint="eastAsia" w:ascii="楷体" w:hAnsi="楷体" w:eastAsia="楷体" w:cs="楷体"/>
          <w:sz w:val="32"/>
          <w:szCs w:val="32"/>
        </w:rPr>
        <w:t>农产品产地冷链集配中心（agricultural products collection and distribution center in producing area）是指在农产品产地建立的，具备集货、预冷、分选、加工、冷藏、配货、交易、收储、检测、流通追溯、信息处理等功能的集散场所。参考《“十四五”冷链物流发展规划》。</w:t>
      </w:r>
    </w:p>
    <w:p>
      <w:pPr>
        <w:ind w:firstLine="480" w:firstLineChars="200"/>
        <w:rPr>
          <w:rFonts w:ascii="楷体" w:hAnsi="楷体" w:eastAsia="楷体" w:cs="楷体"/>
          <w:sz w:val="32"/>
          <w:szCs w:val="32"/>
        </w:rPr>
      </w:pPr>
      <w:r>
        <w:rPr>
          <w:rFonts w:ascii="宋体" w:hAnsi="宋体" w:eastAsia="宋体" w:cs="宋体"/>
          <w:sz w:val="24"/>
        </w:rPr>
        <w:drawing>
          <wp:inline distT="0" distB="0" distL="114300" distR="114300">
            <wp:extent cx="4773930" cy="2200910"/>
            <wp:effectExtent l="0" t="0" r="762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773930" cy="2200910"/>
                    </a:xfrm>
                    <a:prstGeom prst="rect">
                      <a:avLst/>
                    </a:prstGeom>
                    <a:noFill/>
                    <a:ln w="9525">
                      <a:noFill/>
                    </a:ln>
                  </pic:spPr>
                </pic:pic>
              </a:graphicData>
            </a:graphic>
          </wp:inline>
        </w:drawing>
      </w:r>
    </w:p>
    <w:p>
      <w:pPr>
        <w:ind w:firstLine="640" w:firstLineChars="200"/>
        <w:rPr>
          <w:rFonts w:ascii="楷体" w:hAnsi="楷体" w:eastAsia="楷体" w:cs="楷体"/>
          <w:sz w:val="32"/>
          <w:szCs w:val="32"/>
        </w:rPr>
      </w:pPr>
      <w:r>
        <w:rPr>
          <w:rFonts w:hint="eastAsia" w:ascii="楷体" w:hAnsi="楷体" w:eastAsia="楷体" w:cs="楷体"/>
          <w:sz w:val="32"/>
          <w:szCs w:val="32"/>
        </w:rPr>
        <w:t>4 总体规划要求</w:t>
      </w:r>
    </w:p>
    <w:p>
      <w:pPr>
        <w:ind w:firstLine="640" w:firstLineChars="200"/>
        <w:rPr>
          <w:rFonts w:ascii="楷体" w:hAnsi="楷体" w:eastAsia="楷体" w:cs="楷体"/>
          <w:sz w:val="32"/>
          <w:szCs w:val="32"/>
        </w:rPr>
      </w:pPr>
      <w:r>
        <w:rPr>
          <w:rFonts w:hint="eastAsia" w:ascii="楷体" w:hAnsi="楷体" w:eastAsia="楷体" w:cs="楷体"/>
          <w:sz w:val="32"/>
          <w:szCs w:val="32"/>
        </w:rPr>
        <w:t>4.1 选址建设要求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条款4.1.1对农产品产地集配中心选址进行规定。条款4.1.2、4.1.3对农产品产地集配中心的总体规划提出要求。应符合国家或地方产业发展规划、土地利用总体规划、地方建设规划等总体要求。条款4.1.4充分考虑农产品产地集配中心建设规模所涉及的因素。条款4.1.5规定农产品产地集配中心的建设原则。</w:t>
      </w:r>
    </w:p>
    <w:p>
      <w:pPr>
        <w:ind w:firstLine="640" w:firstLineChars="200"/>
        <w:rPr>
          <w:rFonts w:ascii="楷体" w:hAnsi="楷体" w:eastAsia="楷体" w:cs="楷体"/>
          <w:sz w:val="32"/>
          <w:szCs w:val="32"/>
        </w:rPr>
      </w:pPr>
      <w:r>
        <w:rPr>
          <w:rFonts w:hint="eastAsia" w:ascii="楷体" w:hAnsi="楷体" w:eastAsia="楷体" w:cs="楷体"/>
          <w:sz w:val="32"/>
          <w:szCs w:val="32"/>
        </w:rPr>
        <w:t>本章节参考GB 14881、GB/T 21334的规定的选址要求，“不应选择对食品有显著污染的区域，不应选择有害废弃物以及粉尘、有害气体、放射性物质和其他扩散性污染源不能有效清除的地址以及周围不宜有虫害大量孳生的潜在场所等”，并结合产地特色提出。</w:t>
      </w:r>
    </w:p>
    <w:p>
      <w:pPr>
        <w:ind w:firstLine="640" w:firstLineChars="200"/>
        <w:rPr>
          <w:rFonts w:ascii="楷体" w:hAnsi="楷体" w:eastAsia="楷体" w:cs="楷体"/>
          <w:sz w:val="32"/>
          <w:szCs w:val="32"/>
        </w:rPr>
      </w:pPr>
      <w:r>
        <w:rPr>
          <w:rFonts w:hint="eastAsia" w:ascii="楷体" w:hAnsi="楷体" w:eastAsia="楷体" w:cs="楷体"/>
          <w:sz w:val="32"/>
          <w:szCs w:val="32"/>
        </w:rPr>
        <w:t>4.2 功能定位</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4.2.1 基本</w:t>
      </w:r>
      <w:r>
        <w:rPr>
          <w:rFonts w:hint="eastAsia" w:ascii="楷体" w:hAnsi="楷体" w:eastAsia="楷体" w:cs="楷体"/>
          <w:sz w:val="32"/>
          <w:szCs w:val="32"/>
          <w:lang w:val="en-US" w:eastAsia="zh-CN"/>
        </w:rPr>
        <w:t>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条款4.2.1.1规定了农产品产地集配中心定位的确定办法。根据起草组内部讨论认为，农产品产地集配中心所涉及的品类主要有果蔬、水产品和肉品三类，所涉及的市场主要有以贮藏保鲜为主、以商品化处理为主、以综合服务为主等不同需求，故应不同类型的产地冷链集配中心应与其定位相匹配。</w:t>
      </w:r>
    </w:p>
    <w:p>
      <w:pPr>
        <w:ind w:firstLine="640" w:firstLineChars="200"/>
        <w:rPr>
          <w:rFonts w:ascii="楷体" w:hAnsi="楷体" w:eastAsia="楷体" w:cs="楷体"/>
          <w:sz w:val="32"/>
          <w:szCs w:val="32"/>
        </w:rPr>
      </w:pPr>
      <w:r>
        <w:rPr>
          <w:rFonts w:hint="eastAsia" w:ascii="楷体" w:hAnsi="楷体" w:eastAsia="楷体" w:cs="楷体"/>
          <w:sz w:val="32"/>
          <w:szCs w:val="32"/>
        </w:rPr>
        <w:t>条款4.2.1.2规定了农产品产地集配中心功能与定位之间的关系。由于农产品产地集配中心的品类和市场需求差异，其功能也不尽相同，因此需要明确农产品产地集配中心功能与定位之间的关系。</w:t>
      </w:r>
    </w:p>
    <w:p>
      <w:pPr>
        <w:ind w:firstLine="640" w:firstLineChars="200"/>
        <w:rPr>
          <w:rFonts w:ascii="楷体" w:hAnsi="楷体" w:eastAsia="楷体" w:cs="楷体"/>
          <w:sz w:val="32"/>
          <w:szCs w:val="32"/>
        </w:rPr>
      </w:pPr>
      <w:r>
        <w:rPr>
          <w:rFonts w:hint="eastAsia" w:ascii="楷体" w:hAnsi="楷体" w:eastAsia="楷体" w:cs="楷体"/>
          <w:sz w:val="32"/>
          <w:szCs w:val="32"/>
        </w:rPr>
        <w:t>4.2.2  主要功能</w:t>
      </w:r>
    </w:p>
    <w:p>
      <w:pPr>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rPr>
        <w:t>条款4.2.2.1规定了农产品产地集配中心的</w:t>
      </w:r>
      <w:r>
        <w:rPr>
          <w:rFonts w:hint="eastAsia" w:ascii="楷体" w:hAnsi="楷体" w:eastAsia="楷体" w:cs="楷体"/>
          <w:sz w:val="32"/>
          <w:szCs w:val="32"/>
          <w:highlight w:val="none"/>
          <w:lang w:val="en-US" w:eastAsia="zh-CN"/>
        </w:rPr>
        <w:t>主要</w:t>
      </w:r>
      <w:r>
        <w:rPr>
          <w:rFonts w:hint="eastAsia" w:ascii="楷体" w:hAnsi="楷体" w:eastAsia="楷体" w:cs="楷体"/>
          <w:sz w:val="32"/>
          <w:szCs w:val="32"/>
          <w:highlight w:val="none"/>
        </w:rPr>
        <w:t>功能以及商务、生活服务功能。参考《“十四五”冷链物流发展规划》中关于“建设一批集集货、预冷、分选、加工、冷藏、发货、检测收储、信息等功能于一体的产地冷链集配中心，提高农产品产后集散和商品化处理效率”要求，以及GB/T 21334-2017中5.3.7中“物流园区应为规划建设有满足入驻企业进驻条件,具备政务、商务、生活服务等服务设施”要求。作为相对独立且完善的农产品物流单元，产地冷链集配中心应具备集货、预冷、分选、加工、冷藏、发货、检测收储、信息等功能，也应具备与之配套的商务、生活服务功能。</w:t>
      </w:r>
    </w:p>
    <w:p>
      <w:pPr>
        <w:ind w:firstLine="640" w:firstLineChars="200"/>
        <w:rPr>
          <w:rFonts w:ascii="楷体" w:hAnsi="楷体" w:eastAsia="楷体" w:cs="楷体"/>
          <w:color w:val="auto"/>
          <w:sz w:val="32"/>
          <w:szCs w:val="32"/>
          <w:highlight w:val="none"/>
        </w:rPr>
      </w:pPr>
      <w:r>
        <w:rPr>
          <w:rFonts w:hint="eastAsia" w:ascii="楷体" w:hAnsi="楷体" w:eastAsia="楷体" w:cs="楷体"/>
          <w:sz w:val="32"/>
          <w:szCs w:val="32"/>
          <w:highlight w:val="none"/>
        </w:rPr>
        <w:t>条款4.2.2.2</w:t>
      </w:r>
      <w:r>
        <w:rPr>
          <w:rFonts w:hint="eastAsia" w:ascii="楷体" w:hAnsi="楷体" w:eastAsia="楷体" w:cs="楷体"/>
          <w:color w:val="auto"/>
          <w:sz w:val="32"/>
          <w:szCs w:val="32"/>
          <w:highlight w:val="none"/>
        </w:rPr>
        <w:t>规定了不同类型农产品产地集配中心的商品化处理功能。参考《“十四五”冷链物流发展规划》关于</w:t>
      </w:r>
      <w:r>
        <w:rPr>
          <w:rFonts w:hint="eastAsia" w:ascii="楷体" w:hAnsi="楷体" w:eastAsia="楷体" w:cs="楷体"/>
          <w:color w:val="auto"/>
          <w:sz w:val="32"/>
          <w:szCs w:val="32"/>
          <w:highlight w:val="none"/>
          <w:shd w:val="clear" w:color="auto" w:fill="FFFFFF"/>
        </w:rPr>
        <w:t>建设产地冷链集配中心相关要求，结合新型城镇化建设，依托县城、重点镇布局建设一批产地冷链集配中心，改善产地公共冷库设施条件，强化产地预冷、仓储保鲜、分级分拣、初加工、产地直销等能力，提高农产品商品化处理水平，减少产后损失，实现优质优价</w:t>
      </w:r>
      <w:r>
        <w:rPr>
          <w:rFonts w:hint="eastAsia" w:ascii="楷体" w:hAnsi="楷体" w:eastAsia="楷体" w:cs="楷体"/>
          <w:color w:val="auto"/>
          <w:sz w:val="32"/>
          <w:szCs w:val="32"/>
          <w:highlight w:val="none"/>
        </w:rPr>
        <w:t>，并根据调研企业在农产品商品化处理过程中实际运用情况提出，调研名单见表2。</w:t>
      </w:r>
    </w:p>
    <w:p>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4.3  功能区布局</w:t>
      </w:r>
    </w:p>
    <w:p>
      <w:pPr>
        <w:ind w:firstLine="640" w:firstLineChars="200"/>
        <w:rPr>
          <w:rFonts w:ascii="楷体" w:hAnsi="楷体" w:eastAsia="楷体" w:cs="楷体"/>
          <w:sz w:val="32"/>
          <w:szCs w:val="32"/>
        </w:rPr>
      </w:pPr>
      <w:r>
        <w:rPr>
          <w:rFonts w:hint="eastAsia" w:ascii="楷体" w:hAnsi="楷体" w:eastAsia="楷体" w:cs="楷体"/>
          <w:color w:val="auto"/>
          <w:sz w:val="32"/>
          <w:szCs w:val="32"/>
        </w:rPr>
        <w:t>条款4.3.1规定了农产品产地冷链集配中心应包括基本功能区和管理服务区：a）基本功能区包括交易区、</w:t>
      </w:r>
      <w:r>
        <w:rPr>
          <w:rFonts w:hint="eastAsia" w:ascii="楷体" w:hAnsi="楷体" w:eastAsia="楷体" w:cs="楷体"/>
          <w:sz w:val="32"/>
          <w:szCs w:val="32"/>
        </w:rPr>
        <w:t>预冷区、分拣加工配送区、仓储区、检测区、装卸作业区；b）管理服务区包括办公区、停车区、公共卫生区和其他附属区域。根据调研企业实际情况提出，调研名单见表2。</w:t>
      </w:r>
    </w:p>
    <w:p>
      <w:pPr>
        <w:ind w:firstLine="640" w:firstLineChars="200"/>
        <w:rPr>
          <w:rFonts w:ascii="楷体" w:hAnsi="楷体" w:eastAsia="楷体" w:cs="楷体"/>
          <w:sz w:val="32"/>
          <w:szCs w:val="32"/>
        </w:rPr>
      </w:pPr>
      <w:r>
        <w:rPr>
          <w:rFonts w:hint="eastAsia" w:ascii="楷体" w:hAnsi="楷体" w:eastAsia="楷体" w:cs="楷体"/>
          <w:sz w:val="32"/>
          <w:szCs w:val="32"/>
        </w:rPr>
        <w:t>条款4.3.2规定基本功能区与管理服务区的布局策略。参考GB 14881-2013中3.2的“厂区应合理布局，各功能区域划分明显，并有适当的分离或分割措施，防止交叉污染”的要求。</w:t>
      </w:r>
    </w:p>
    <w:p>
      <w:pPr>
        <w:ind w:firstLine="640" w:firstLineChars="200"/>
        <w:rPr>
          <w:rFonts w:ascii="楷体" w:hAnsi="楷体" w:eastAsia="楷体" w:cs="楷体"/>
          <w:sz w:val="32"/>
          <w:szCs w:val="32"/>
        </w:rPr>
      </w:pPr>
      <w:r>
        <w:rPr>
          <w:rFonts w:hint="eastAsia" w:ascii="楷体" w:hAnsi="楷体" w:eastAsia="楷体" w:cs="楷体"/>
          <w:sz w:val="32"/>
          <w:szCs w:val="32"/>
        </w:rPr>
        <w:t>条款4.3.3规定了基本功能区的设备摆放原则。参考GB 14881-2013中4.1的“厂房与车间的是设计应根据生产工艺合理布局，预防和降低产品受污染的风险的相关”要求。</w:t>
      </w:r>
    </w:p>
    <w:p>
      <w:pPr>
        <w:ind w:firstLine="640" w:firstLineChars="200"/>
        <w:rPr>
          <w:rFonts w:ascii="楷体" w:hAnsi="楷体" w:eastAsia="楷体" w:cs="楷体"/>
          <w:sz w:val="32"/>
          <w:szCs w:val="32"/>
        </w:rPr>
      </w:pPr>
      <w:r>
        <w:rPr>
          <w:rFonts w:hint="eastAsia" w:ascii="楷体" w:hAnsi="楷体" w:eastAsia="楷体" w:cs="楷体"/>
          <w:sz w:val="32"/>
          <w:szCs w:val="32"/>
        </w:rPr>
        <w:t>条款4.3.4规定了农产品卸货区与成品出库区的设置原则；原料与成品的生产存放、人流与物流方向区隔办法。参考GB 14881-2013中4.1的“厂房和车间应根据产品特点、生产工艺、生产特征以及生产过程对清洁程度的要求合理划分作业区，并采取有效分离和分割”要求。</w:t>
      </w:r>
    </w:p>
    <w:p>
      <w:pPr>
        <w:ind w:firstLine="640" w:firstLineChars="200"/>
        <w:rPr>
          <w:rFonts w:ascii="楷体" w:hAnsi="楷体" w:eastAsia="楷体" w:cs="楷体"/>
          <w:sz w:val="32"/>
          <w:szCs w:val="32"/>
        </w:rPr>
      </w:pPr>
      <w:r>
        <w:rPr>
          <w:rFonts w:hint="eastAsia" w:ascii="楷体" w:hAnsi="楷体" w:eastAsia="楷体" w:cs="楷体"/>
          <w:sz w:val="32"/>
          <w:szCs w:val="32"/>
        </w:rPr>
        <w:t>5  卫生与安全要求</w:t>
      </w:r>
    </w:p>
    <w:p>
      <w:pPr>
        <w:ind w:firstLine="640" w:firstLineChars="200"/>
        <w:rPr>
          <w:rFonts w:ascii="楷体" w:hAnsi="楷体" w:eastAsia="楷体" w:cs="楷体"/>
          <w:sz w:val="32"/>
          <w:szCs w:val="32"/>
        </w:rPr>
      </w:pPr>
      <w:r>
        <w:rPr>
          <w:rFonts w:hint="eastAsia" w:ascii="楷体" w:hAnsi="楷体" w:eastAsia="楷体" w:cs="楷体"/>
          <w:sz w:val="32"/>
          <w:szCs w:val="32"/>
        </w:rPr>
        <w:t>条款5.1规定了应符合GB 14881的要求，其中</w:t>
      </w:r>
      <w:r>
        <w:rPr>
          <w:rFonts w:hint="eastAsia" w:ascii="楷体" w:hAnsi="楷体" w:eastAsia="楷体" w:cs="楷体"/>
          <w:sz w:val="32"/>
          <w:szCs w:val="32"/>
          <w:lang w:val="en-US" w:eastAsia="zh-CN"/>
        </w:rPr>
        <w:t>涉及</w:t>
      </w:r>
      <w:r>
        <w:rPr>
          <w:rFonts w:hint="eastAsia" w:ascii="楷体" w:hAnsi="楷体" w:eastAsia="楷体" w:cs="楷体"/>
          <w:sz w:val="32"/>
          <w:szCs w:val="32"/>
        </w:rPr>
        <w:t>冷链物流环节还应符合GB 31605。条款5.2规定了配套设施安全要求应符合GB/T 21334-2017中5.3的要求。条款5.3规定了停车区应设置安全管理人员，安排车辆的停放和转驳。根据调研企业实际情况提出，调研名单见表2。</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6  功能区建设要求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6.1  </w:t>
      </w:r>
      <w:r>
        <w:rPr>
          <w:rFonts w:hint="eastAsia" w:ascii="楷体" w:hAnsi="楷体" w:eastAsia="楷体" w:cs="楷体"/>
          <w:sz w:val="32"/>
          <w:szCs w:val="32"/>
          <w:lang w:val="en-US" w:eastAsia="zh-CN"/>
        </w:rPr>
        <w:t>基本功能区</w:t>
      </w:r>
    </w:p>
    <w:p>
      <w:pPr>
        <w:ind w:firstLine="640" w:firstLineChars="200"/>
        <w:rPr>
          <w:rFonts w:ascii="楷体" w:hAnsi="楷体" w:eastAsia="楷体" w:cs="楷体"/>
          <w:sz w:val="32"/>
          <w:szCs w:val="32"/>
        </w:rPr>
      </w:pPr>
      <w:r>
        <w:rPr>
          <w:rFonts w:hint="eastAsia" w:ascii="楷体" w:hAnsi="楷体" w:eastAsia="楷体" w:cs="楷体"/>
          <w:sz w:val="32"/>
          <w:szCs w:val="32"/>
        </w:rPr>
        <w:t>6.1</w:t>
      </w:r>
      <w:r>
        <w:rPr>
          <w:rFonts w:hint="eastAsia" w:ascii="楷体" w:hAnsi="楷体" w:eastAsia="楷体" w:cs="楷体"/>
          <w:sz w:val="32"/>
          <w:szCs w:val="32"/>
          <w:lang w:val="en-US" w:eastAsia="zh-CN"/>
        </w:rPr>
        <w:t>.1</w:t>
      </w:r>
      <w:r>
        <w:rPr>
          <w:rFonts w:hint="eastAsia" w:ascii="楷体" w:hAnsi="楷体" w:eastAsia="楷体" w:cs="楷体"/>
          <w:sz w:val="32"/>
          <w:szCs w:val="32"/>
        </w:rPr>
        <w:t xml:space="preserve">  交易区</w:t>
      </w:r>
    </w:p>
    <w:p>
      <w:pPr>
        <w:ind w:firstLine="640" w:firstLineChars="200"/>
        <w:rPr>
          <w:rFonts w:ascii="楷体" w:hAnsi="楷体" w:eastAsia="楷体" w:cs="楷体"/>
          <w:sz w:val="32"/>
          <w:szCs w:val="32"/>
        </w:rPr>
      </w:pPr>
      <w:r>
        <w:rPr>
          <w:rFonts w:hint="eastAsia" w:ascii="楷体" w:hAnsi="楷体" w:eastAsia="楷体" w:cs="楷体"/>
          <w:sz w:val="32"/>
          <w:szCs w:val="32"/>
        </w:rPr>
        <w:t>条款6.1.1.1规定了农产品产地集配中心应配备检定合格的计量器具。条款6.1.1.2规定了农产品产地集配中心应配备电子化结算设施设备。条款6.1.1.3规定了农产品产地集配中心应配备交易监控系统。条款6.1.1.4规定了农产品产地集配中心宜配备农产品展示台、展示冷柜。本章节参考GB/T 19575-2004中5.1“应设立导购图、车行路线标示图、公用电话、校秤点等公共服务设施，各类公共设施应标识明确，应符合GB</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10001的规定；从事拍卖交易的批发市场应配备电子屏幕，并有网络设备和电子结算设备；从事生鲜肉类交易的批发市场应配备胴体吊架、低温保鲜等设施设备”的要求，同时结合农产品产地特点提出。</w:t>
      </w:r>
    </w:p>
    <w:p>
      <w:pPr>
        <w:ind w:firstLine="640" w:firstLineChars="200"/>
        <w:rPr>
          <w:rFonts w:ascii="楷体" w:hAnsi="楷体" w:eastAsia="楷体" w:cs="楷体"/>
          <w:sz w:val="32"/>
          <w:szCs w:val="32"/>
        </w:rPr>
      </w:pPr>
      <w:r>
        <w:rPr>
          <w:rFonts w:hint="eastAsia" w:ascii="楷体" w:hAnsi="楷体" w:eastAsia="楷体" w:cs="楷体"/>
          <w:sz w:val="32"/>
          <w:szCs w:val="32"/>
        </w:rPr>
        <w:t>6.1.2  预冷区</w:t>
      </w:r>
    </w:p>
    <w:p>
      <w:pPr>
        <w:ind w:firstLine="640" w:firstLineChars="200"/>
        <w:rPr>
          <w:rFonts w:ascii="楷体" w:hAnsi="楷体" w:eastAsia="楷体" w:cs="楷体"/>
          <w:sz w:val="32"/>
          <w:szCs w:val="32"/>
        </w:rPr>
      </w:pPr>
      <w:r>
        <w:rPr>
          <w:rFonts w:hint="eastAsia" w:ascii="楷体" w:hAnsi="楷体" w:eastAsia="楷体" w:cs="楷体"/>
          <w:sz w:val="32"/>
          <w:szCs w:val="32"/>
        </w:rPr>
        <w:t>条款6.1.2.1规定了预冷区预冷方式和设备的选取原则。果蔬预冷设备应符合DG/T 294的要求、果蔬预冷技术应符合NY/T 4168-2022的要求。这主要根据不同生鲜农产品的生理特性和贮藏特性，选取与之相适应的预冷方式和设备。</w:t>
      </w:r>
    </w:p>
    <w:p>
      <w:pPr>
        <w:ind w:firstLine="640" w:firstLineChars="200"/>
        <w:rPr>
          <w:rFonts w:ascii="楷体" w:hAnsi="楷体" w:eastAsia="楷体" w:cs="楷体"/>
          <w:sz w:val="32"/>
          <w:szCs w:val="32"/>
        </w:rPr>
      </w:pPr>
      <w:r>
        <w:rPr>
          <w:rFonts w:hint="eastAsia" w:ascii="楷体" w:hAnsi="楷体" w:eastAsia="楷体" w:cs="楷体"/>
          <w:sz w:val="32"/>
          <w:szCs w:val="32"/>
        </w:rPr>
        <w:t>条款6.1.2.2规定了农产品预冷温湿度条件</w:t>
      </w:r>
      <w:r>
        <w:rPr>
          <w:rFonts w:hint="eastAsia" w:ascii="楷体" w:hAnsi="楷体" w:eastAsia="楷体" w:cs="楷体"/>
          <w:sz w:val="32"/>
          <w:szCs w:val="32"/>
          <w:highlight w:val="none"/>
        </w:rPr>
        <w:t>应符合G</w:t>
      </w:r>
      <w:r>
        <w:rPr>
          <w:rFonts w:hint="eastAsia" w:ascii="楷体" w:hAnsi="楷体" w:eastAsia="楷体" w:cs="楷体"/>
          <w:sz w:val="32"/>
          <w:szCs w:val="32"/>
        </w:rPr>
        <w:t>B/T 42503中附录A。</w:t>
      </w:r>
    </w:p>
    <w:p>
      <w:pPr>
        <w:ind w:firstLine="640" w:firstLineChars="200"/>
        <w:rPr>
          <w:rFonts w:ascii="楷体" w:hAnsi="楷体" w:eastAsia="楷体" w:cs="楷体"/>
          <w:sz w:val="32"/>
          <w:szCs w:val="32"/>
        </w:rPr>
      </w:pPr>
      <w:r>
        <w:rPr>
          <w:rFonts w:hint="eastAsia" w:ascii="楷体" w:hAnsi="楷体" w:eastAsia="楷体" w:cs="楷体"/>
          <w:sz w:val="32"/>
          <w:szCs w:val="32"/>
        </w:rPr>
        <w:t>6.1.3  分拣加工配送区</w:t>
      </w:r>
    </w:p>
    <w:p>
      <w:pPr>
        <w:ind w:firstLine="640" w:firstLineChars="200"/>
        <w:rPr>
          <w:rFonts w:ascii="楷体" w:hAnsi="楷体" w:eastAsia="楷体" w:cs="楷体"/>
          <w:sz w:val="32"/>
          <w:szCs w:val="32"/>
        </w:rPr>
      </w:pPr>
      <w:r>
        <w:rPr>
          <w:rFonts w:hint="eastAsia" w:ascii="楷体" w:hAnsi="楷体" w:eastAsia="楷体" w:cs="楷体"/>
          <w:sz w:val="32"/>
          <w:szCs w:val="32"/>
        </w:rPr>
        <w:t>条款6.1.3.1规定了分拣加工配送区的洁净等级和洁净区域的规划设计原则。参考GB 14881-2013中4.1.3的“通常可划分为清洁作业区、准清洁作业区、和一般作业区；或清洁作业区和一般作业区等，一般作业区应与其他作业区域分割”的要求。</w:t>
      </w:r>
    </w:p>
    <w:p>
      <w:pPr>
        <w:ind w:firstLine="640" w:firstLineChars="200"/>
        <w:rPr>
          <w:rFonts w:ascii="楷体" w:hAnsi="楷体" w:eastAsia="楷体" w:cs="楷体"/>
          <w:sz w:val="32"/>
          <w:szCs w:val="32"/>
        </w:rPr>
      </w:pPr>
      <w:r>
        <w:rPr>
          <w:rFonts w:hint="eastAsia" w:ascii="楷体" w:hAnsi="楷体" w:eastAsia="楷体" w:cs="楷体"/>
          <w:sz w:val="32"/>
          <w:szCs w:val="32"/>
        </w:rPr>
        <w:t>条款6.1.3.2规定了分拣加工配送区应具备加工所需的供电设施、给排水设施，并设置污水和垃圾处理设施。参考SB/T 10870.1-2012中5.2.2和5.3.2的“应有良好的采光、照片、给排水、供电系统，应具有广播通讯、公告、监控等设施”要求。</w:t>
      </w:r>
    </w:p>
    <w:p>
      <w:pPr>
        <w:ind w:firstLine="640" w:firstLineChars="200"/>
        <w:rPr>
          <w:rFonts w:ascii="楷体" w:hAnsi="楷体" w:eastAsia="楷体" w:cs="楷体"/>
          <w:sz w:val="32"/>
          <w:szCs w:val="32"/>
        </w:rPr>
      </w:pPr>
      <w:r>
        <w:rPr>
          <w:rFonts w:hint="eastAsia" w:ascii="楷体" w:hAnsi="楷体" w:eastAsia="楷体" w:cs="楷体"/>
          <w:sz w:val="32"/>
          <w:szCs w:val="32"/>
        </w:rPr>
        <w:t>条款6.1.3.4规定了设立分拣加工区的原则。参考SB/T 10870.1-2012中5.3.1的“面积应与加工量相适应，可单独建设，也可与集散配送权或冷库联体建设”要求。条款6.1.3.3规定了分拣加工配送区应配备加工所需的分拣、称重、搬运等设施设备。果蔬型农产品产地冷链集配中心还应具备预冷、清洗、分级、打蜡、包装等果蔬商品化处理设施设备，肉品型和水产品型农产品产地冷链集配中心还应具备冷却、分等、分割、冻结等初加工设施设备。参考《“十四五”冷链物流发展规划》中提到的“提升农产品产地商品化处理水平。新建或改造产地预冷设施，配备果蔬清洗、分级、分拣、切割、包装等设施设备。鼓励广泛使用冷链设施开展果蔬保鲜，大幅减少保鲜药物使用。推进商品化包装与冷链包装一体化，完善脱水干制、称量包装、检验检测、低损输送、质量管控等配套功能，提高果蔬产地商品化处理能力，减少流通损耗。”、SB/T 10870.1-2012中5.3.3的“应配备加工所需的分拣、清洗、包装、称重、搬运等设施设备”的要求。</w:t>
      </w:r>
    </w:p>
    <w:p>
      <w:pPr>
        <w:ind w:firstLine="640" w:firstLineChars="200"/>
        <w:rPr>
          <w:rFonts w:ascii="楷体" w:hAnsi="楷体" w:eastAsia="楷体" w:cs="楷体"/>
          <w:sz w:val="32"/>
          <w:szCs w:val="32"/>
        </w:rPr>
      </w:pPr>
      <w:r>
        <w:rPr>
          <w:rFonts w:hint="eastAsia" w:ascii="楷体" w:hAnsi="楷体" w:eastAsia="楷体" w:cs="楷体"/>
          <w:sz w:val="32"/>
          <w:szCs w:val="32"/>
        </w:rPr>
        <w:t xml:space="preserve">6.1.4  仓储区 </w:t>
      </w:r>
    </w:p>
    <w:p>
      <w:pPr>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sz w:val="32"/>
          <w:szCs w:val="32"/>
        </w:rPr>
        <w:t>条款6.1.4.1规定了仓储区温区的设置。根据起草组内部讨论提出</w:t>
      </w:r>
      <w:r>
        <w:rPr>
          <w:rFonts w:hint="eastAsia" w:ascii="楷体" w:hAnsi="楷体" w:eastAsia="楷体" w:cs="楷体"/>
          <w:sz w:val="32"/>
          <w:szCs w:val="32"/>
          <w:lang w:eastAsia="zh-CN"/>
        </w:rPr>
        <w:t>，</w:t>
      </w:r>
      <w:r>
        <w:rPr>
          <w:rFonts w:hint="eastAsia" w:ascii="楷体" w:hAnsi="楷体" w:eastAsia="楷体" w:cs="楷体"/>
          <w:color w:val="000000" w:themeColor="text1"/>
          <w:sz w:val="32"/>
          <w:szCs w:val="32"/>
          <w14:textFill>
            <w14:solidFill>
              <w14:schemeClr w14:val="tx1"/>
            </w14:solidFill>
          </w14:textFill>
        </w:rPr>
        <w:t>起草组认为可设置冷冻库、冷藏库或其它温区库房，过于精细分区不利于标准的实施和执行。</w:t>
      </w:r>
    </w:p>
    <w:p>
      <w:pPr>
        <w:ind w:firstLine="640" w:firstLineChars="200"/>
        <w:rPr>
          <w:rFonts w:ascii="楷体" w:hAnsi="楷体" w:eastAsia="楷体" w:cs="楷体"/>
          <w:sz w:val="32"/>
          <w:szCs w:val="32"/>
        </w:rPr>
      </w:pPr>
      <w:r>
        <w:rPr>
          <w:rFonts w:hint="eastAsia" w:ascii="楷体" w:hAnsi="楷体" w:eastAsia="楷体" w:cs="楷体"/>
          <w:sz w:val="32"/>
          <w:szCs w:val="32"/>
        </w:rPr>
        <w:t>条款6.1.4.2规定了仓储区配备货架、托盘、周转箱、叉车等设备。托盘应符合GB/T 37106的相关要求，果蔬类周转箱应符合GB/T 39907的相关要求。</w:t>
      </w:r>
    </w:p>
    <w:p>
      <w:pPr>
        <w:ind w:firstLine="640" w:firstLineChars="200"/>
        <w:rPr>
          <w:rFonts w:ascii="楷体" w:hAnsi="楷体" w:eastAsia="楷体" w:cs="楷体"/>
          <w:sz w:val="32"/>
          <w:szCs w:val="32"/>
        </w:rPr>
      </w:pPr>
      <w:r>
        <w:rPr>
          <w:rFonts w:hint="eastAsia" w:ascii="楷体" w:hAnsi="楷体" w:eastAsia="楷体" w:cs="楷体"/>
          <w:sz w:val="32"/>
          <w:szCs w:val="32"/>
        </w:rPr>
        <w:t>条款6.1.4.3规定了货品的摆放原则。根据起草组内部讨论提出，起草组认为货品应摆放合理，并保持整洁及良好通风。</w:t>
      </w:r>
    </w:p>
    <w:p>
      <w:pPr>
        <w:ind w:firstLine="640" w:firstLineChars="200"/>
        <w:rPr>
          <w:rFonts w:ascii="楷体" w:hAnsi="楷体" w:eastAsia="楷体" w:cs="楷体"/>
          <w:sz w:val="32"/>
          <w:szCs w:val="32"/>
        </w:rPr>
      </w:pPr>
      <w:r>
        <w:rPr>
          <w:rFonts w:hint="eastAsia" w:ascii="楷体" w:hAnsi="楷体" w:eastAsia="楷体" w:cs="楷体"/>
          <w:sz w:val="32"/>
          <w:szCs w:val="32"/>
        </w:rPr>
        <w:t>条款6.1.4.4规定了封闭月台、穿堂以及保温门，传输装卸通道与人员通道设置原则。参考GB 31605-2020中3.2的“冷库应具备配套的制冷系统或保温条件缓存区的封闭月台,同时与车辆对接处应有防撞密封设施。冷库门应配备限制冷热交换的装置,并设置防反锁装置和警示标识”要求。</w:t>
      </w:r>
    </w:p>
    <w:p>
      <w:pPr>
        <w:ind w:firstLine="640" w:firstLineChars="200"/>
        <w:rPr>
          <w:rFonts w:ascii="楷体" w:hAnsi="楷体" w:eastAsia="楷体" w:cs="楷体"/>
          <w:sz w:val="32"/>
          <w:szCs w:val="32"/>
        </w:rPr>
      </w:pPr>
      <w:r>
        <w:rPr>
          <w:rFonts w:hint="eastAsia" w:ascii="楷体" w:hAnsi="楷体" w:eastAsia="楷体" w:cs="楷体"/>
          <w:sz w:val="32"/>
          <w:szCs w:val="32"/>
        </w:rPr>
        <w:t>6.1.5  检测区</w:t>
      </w:r>
    </w:p>
    <w:p>
      <w:pPr>
        <w:ind w:firstLine="640" w:firstLineChars="200"/>
        <w:rPr>
          <w:rFonts w:ascii="楷体" w:hAnsi="楷体" w:eastAsia="楷体" w:cs="楷体"/>
          <w:sz w:val="32"/>
          <w:szCs w:val="32"/>
        </w:rPr>
      </w:pPr>
      <w:r>
        <w:rPr>
          <w:rFonts w:hint="eastAsia" w:ascii="楷体" w:hAnsi="楷体" w:eastAsia="楷体" w:cs="楷体"/>
          <w:sz w:val="32"/>
          <w:szCs w:val="32"/>
        </w:rPr>
        <w:t>条款6.1.5.1规定了检测区所具有的农产品农药残留、兽药残留检测和其他相关检测相关设备。条款6.1.5.2规定了检测区内部功能区域划分原则。参考《“十四五”冷链物流发展规划》中提到的“提升农产品产地商品化处理水平。新建或改造产地预冷设施，配备果蔬清洗、分级、分拣、切割、包装等设施设备。鼓励广泛使用冷链设施开展果蔬保鲜，大幅减少保鲜药物使用。推进商品化包装与冷链包装一体化，完善脱水干制、称量包装、检验检测、低损输送、质量管控等配套功能，提高果蔬产地商品化处理能力，减少流通损耗。”、“围绕特色农产品优势产区，拓展产地冷链集配中心、国家骨干冷链物流基地的交易展示、安全检测、溯源查询、统仓统配等功能，增强农产品品控能力，完善绿色食品、有机农产品、地理标志农产品等认证配套，着力打造特色鲜明、品质一流的农产品品牌。”、GB/T 19575-2004中5.6“从事蔬菜、水果交易的批发市场应配备农药残留的快速检测设备和相关辅助设施设备；从事水产品交易的批发市场应配备检测甲醛、水质的检测设备；从事畜禽产品交易的批发市场应配备检测肉内注水含量和兽药残留的设备及相关辅助设备；应配备政府规定批发市场其他检测项目的设施设备；市场不能检测的项目应委托法定检测机构进行检测”、SB/T 10870.1-2012中5.4“应具有果蔬产品农药残留检测能力和其他相关检测能力，配备与检测能力相适应的设施设备、计算机等，满足日常检测工作需要；应按功能分区，布局合理，相互有干扰区域应作隔离”的要求。</w:t>
      </w:r>
    </w:p>
    <w:p>
      <w:pPr>
        <w:ind w:firstLine="640" w:firstLineChars="200"/>
        <w:rPr>
          <w:rFonts w:ascii="楷体" w:hAnsi="楷体" w:eastAsia="楷体" w:cs="楷体"/>
          <w:sz w:val="32"/>
          <w:szCs w:val="32"/>
        </w:rPr>
      </w:pPr>
      <w:r>
        <w:rPr>
          <w:rFonts w:hint="eastAsia" w:ascii="楷体" w:hAnsi="楷体" w:eastAsia="楷体" w:cs="楷体"/>
          <w:sz w:val="32"/>
          <w:szCs w:val="32"/>
        </w:rPr>
        <w:t>6.1.6  装卸作业区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条款6.1.6.1规定了作业设备的规模。条款6.1.6.2规定了标准化托盘的配置情况。条款6.1.6.3规定了设有高层货架的宜配备具有升降功能的装备、自动化传输线和堆垛机等。参考SB/T 10870.1-2012中5.1.2.7的“应配备与吞吐能力相适应的作业设备，如叉车、托盘等，设有高层货架的宜配备升降能力的电动叉车”提出。</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6.2管理服务区</w:t>
      </w:r>
    </w:p>
    <w:p>
      <w:p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应建立配套的管理服务区，包括办公及生活场所，且应具备办公、餐饮、住宿、休闲娱乐等相关设施设备。参考SB/T 10870.1-2012中5.6运营管理的应设有相应的办公场所，可提供办公、交易结算、会议等服务，并结合GB 14881-2013中3.2厂区环境中提到“宿舍、食堂、职工娱乐等生活区”提出。</w:t>
      </w:r>
    </w:p>
    <w:p>
      <w:pPr>
        <w:ind w:firstLine="640" w:firstLineChars="200"/>
        <w:rPr>
          <w:rFonts w:ascii="楷体" w:hAnsi="楷体" w:eastAsia="楷体" w:cs="楷体"/>
          <w:sz w:val="32"/>
          <w:szCs w:val="32"/>
        </w:rPr>
      </w:pPr>
      <w:r>
        <w:rPr>
          <w:rFonts w:hint="eastAsia" w:ascii="楷体" w:hAnsi="楷体" w:eastAsia="楷体" w:cs="楷体"/>
          <w:sz w:val="32"/>
          <w:szCs w:val="32"/>
        </w:rPr>
        <w:t>7  设备要求</w:t>
      </w:r>
    </w:p>
    <w:p>
      <w:pPr>
        <w:ind w:firstLine="640" w:firstLineChars="200"/>
        <w:rPr>
          <w:rFonts w:ascii="楷体" w:hAnsi="楷体" w:eastAsia="楷体" w:cs="楷体"/>
          <w:sz w:val="32"/>
          <w:szCs w:val="32"/>
        </w:rPr>
      </w:pPr>
      <w:r>
        <w:rPr>
          <w:rFonts w:hint="eastAsia" w:ascii="楷体" w:hAnsi="楷体" w:eastAsia="楷体" w:cs="楷体"/>
          <w:sz w:val="32"/>
          <w:szCs w:val="32"/>
        </w:rPr>
        <w:t>条款7.1规定了根据农产品的存储需求宜选用不同的存储设备。条款7.2规定了物流容器宜选用与农产品相匹配、符合国家标准尺寸、质量、包装模数和材质的物流容器，包含保温箱、周转箱（筐）和托盘等。条款7.3规定了分拣设备应根据农产品分拣规模合理选取分拣设备，包括但不限于电子标签、手持扫描设备、自动分拣机等。条款7.4规定了搬运设备应选择与存储单元设备相匹配的搬运设备，包括但不限于叉车、手动搬运车、输送带等。条款7.5规定了流通加工设备应选择与流通加工需求相匹配的加工设备，包括但不限于预冷设备、分级分选设备、清洗设备、包装机、贴标机等。《“十四五”冷链物流发展规划》指出：“结合新型城镇化建设，依托县城、重点镇布局建设一批产地冷链集配中心，改善产地公共冷库设施条件，强化产地预冷、仓储保鲜、分级分拣、初加工、产地直销等能力，提高农产品商品化处理水平，减少产后损失，实现优质优价。服务本地消费市场，拓展产地冷链集配中心中转集散、分拨配送功能，优化完善县乡村冷链物流服务。”调研企业的存储设备、物流容器、分拣设备、搬运设备、流通加工设备使用频率高，建议尽可能覆盖上述类别的设备。因此，参考《“十四五”冷链物流发展规划》关于加快冷链集配中心设施建设的相关规定，根据起草组内部讨论、调研企业（调研名单见表2）实际设备使用情况提出。条款7.6规定了</w:t>
      </w:r>
      <w:r>
        <w:rPr>
          <w:rFonts w:hint="eastAsia" w:ascii="楷体" w:hAnsi="楷体" w:eastAsia="楷体" w:cs="楷体"/>
          <w:sz w:val="32"/>
          <w:szCs w:val="32"/>
          <w:lang w:val="en-US" w:eastAsia="zh-CN"/>
        </w:rPr>
        <w:t>农产品产地冷链集配中心的</w:t>
      </w:r>
      <w:r>
        <w:rPr>
          <w:rFonts w:hint="eastAsia" w:ascii="楷体" w:hAnsi="楷体" w:eastAsia="楷体" w:cs="楷体"/>
          <w:sz w:val="32"/>
          <w:szCs w:val="32"/>
        </w:rPr>
        <w:t>卫生检查检测设备</w:t>
      </w:r>
      <w:r>
        <w:rPr>
          <w:rFonts w:hint="eastAsia" w:ascii="楷体" w:hAnsi="楷体" w:eastAsia="楷体" w:cs="楷体"/>
          <w:sz w:val="32"/>
          <w:szCs w:val="32"/>
          <w:lang w:val="en-US" w:eastAsia="zh-CN"/>
        </w:rPr>
        <w:t>的要求，设备的</w:t>
      </w:r>
      <w:r>
        <w:rPr>
          <w:rFonts w:hint="eastAsia" w:ascii="楷体" w:hAnsi="楷体" w:eastAsia="楷体" w:cs="楷体"/>
          <w:sz w:val="32"/>
          <w:szCs w:val="32"/>
        </w:rPr>
        <w:t>配备按GB 14881、GB 31621的要求</w:t>
      </w:r>
      <w:r>
        <w:rPr>
          <w:rFonts w:hint="eastAsia" w:ascii="楷体" w:hAnsi="楷体" w:eastAsia="楷体" w:cs="楷体"/>
          <w:sz w:val="32"/>
          <w:szCs w:val="32"/>
          <w:lang w:val="en-US" w:eastAsia="zh-CN"/>
        </w:rPr>
        <w:t>执行</w:t>
      </w:r>
      <w:r>
        <w:rPr>
          <w:rFonts w:hint="eastAsia" w:ascii="楷体" w:hAnsi="楷体" w:eastAsia="楷体" w:cs="楷体"/>
          <w:sz w:val="32"/>
          <w:szCs w:val="32"/>
        </w:rPr>
        <w:t>。</w:t>
      </w:r>
    </w:p>
    <w:p>
      <w:pPr>
        <w:ind w:firstLine="640" w:firstLineChars="200"/>
        <w:rPr>
          <w:rFonts w:ascii="楷体" w:hAnsi="楷体" w:eastAsia="楷体" w:cs="楷体"/>
          <w:sz w:val="32"/>
          <w:szCs w:val="32"/>
        </w:rPr>
      </w:pPr>
      <w:r>
        <w:rPr>
          <w:rFonts w:hint="eastAsia" w:ascii="楷体" w:hAnsi="楷体" w:eastAsia="楷体" w:cs="楷体"/>
          <w:sz w:val="32"/>
          <w:szCs w:val="32"/>
        </w:rPr>
        <w:t>8  信息系统要求</w:t>
      </w:r>
    </w:p>
    <w:p>
      <w:pPr>
        <w:ind w:firstLine="640" w:firstLineChars="200"/>
        <w:rPr>
          <w:rFonts w:ascii="楷体" w:hAnsi="楷体" w:eastAsia="楷体" w:cs="楷体"/>
          <w:sz w:val="32"/>
          <w:szCs w:val="32"/>
        </w:rPr>
      </w:pPr>
      <w:r>
        <w:rPr>
          <w:rFonts w:hint="eastAsia" w:ascii="楷体" w:hAnsi="楷体" w:eastAsia="楷体" w:cs="楷体"/>
          <w:sz w:val="32"/>
          <w:szCs w:val="32"/>
        </w:rPr>
        <w:t>条款8.1规定了信息系统应根据农产品产地冷链集配中心作业流程及管理要求配备相应的信息系统：a）应包括仓库管理系统、运输管理系统、订单管理系统等；b）低温农产品产地配送中心应配备自动化温湿度控制系等。参考GB 31605-2020中3.4的关于应建立与储存、运输相配套的信息化系统,信息化系统应有储存、运输管理相应的模块的相关要求提出。该要求是“应建立与储存、运输相配套的信息化系统，信息化系统应有存储、运输管理相应的模块。”</w:t>
      </w:r>
    </w:p>
    <w:p>
      <w:pPr>
        <w:ind w:firstLine="640" w:firstLineChars="200"/>
        <w:rPr>
          <w:rFonts w:ascii="楷体" w:hAnsi="楷体" w:eastAsia="楷体" w:cs="楷体"/>
          <w:sz w:val="32"/>
          <w:szCs w:val="32"/>
        </w:rPr>
      </w:pPr>
      <w:r>
        <w:rPr>
          <w:rFonts w:hint="eastAsia" w:ascii="楷体" w:hAnsi="楷体" w:eastAsia="楷体" w:cs="楷体"/>
          <w:sz w:val="32"/>
          <w:szCs w:val="32"/>
        </w:rPr>
        <w:t>条款8.2规定了信息系统应预留或开设系统接口与相关企业实现无缝对接。参考《“十四五”冷链物流发展规划》中提到的“推进冷链物流智慧监管。引导企业按照规范化、标准化要求配备冷藏车定位跟踪以及全程温度自动监测、记录设备，在冷库、冷藏集装箱等设施中安装温湿度传感器、记录仪等监测设备，完善冷链物流温湿度监测和定位管控系统。”、GB/T 24358-2019中6.8.1的关于应具备满足客户和合作企业信息交互需求以及政府有关部门监管要求的对外信息服务平台的相关要求。要求包括应具备满足客户和合作企业信息交互需求以及政府有关部门监管要求的对外信息服务平台；应具备与内部作业需求相适应的信息化设施；宜根据智慧物流发展的相关要求开展信息化设施的建设。</w:t>
      </w:r>
    </w:p>
    <w:p>
      <w:pPr>
        <w:ind w:firstLine="640" w:firstLineChars="200"/>
        <w:rPr>
          <w:rFonts w:ascii="楷体" w:hAnsi="楷体" w:eastAsia="楷体" w:cs="楷体"/>
          <w:sz w:val="32"/>
          <w:szCs w:val="32"/>
        </w:rPr>
      </w:pPr>
      <w:r>
        <w:rPr>
          <w:rFonts w:hint="eastAsia" w:ascii="楷体" w:hAnsi="楷体" w:eastAsia="楷体" w:cs="楷体"/>
          <w:sz w:val="32"/>
          <w:szCs w:val="32"/>
        </w:rPr>
        <w:t>条款8.3规定了信息系统应与各功能区域安装的温度测量与传感设备、温度报警设备对接。参考《“十四五”冷链物流发展规划》中提到的“推进冷链物流智慧监管。引导企业按照规范化、标准化要求配备冷藏车定位跟踪以及全程温度自动监测、记录设备，在冷库、冷藏集装箱等设施中安装温湿度传感器、记录仪等监测设备，完善冷链物流温湿度监测和定位管控系统。”。</w:t>
      </w:r>
    </w:p>
    <w:p>
      <w:pPr>
        <w:ind w:firstLine="640" w:firstLineChars="200"/>
        <w:rPr>
          <w:rFonts w:ascii="黑体" w:hAnsi="黑体" w:eastAsia="黑体" w:cs="黑体"/>
          <w:sz w:val="32"/>
          <w:szCs w:val="32"/>
        </w:rPr>
      </w:pPr>
      <w:r>
        <w:rPr>
          <w:rFonts w:hint="eastAsia" w:ascii="黑体" w:hAnsi="黑体" w:eastAsia="黑体" w:cs="黑体"/>
          <w:sz w:val="32"/>
          <w:szCs w:val="32"/>
        </w:rPr>
        <w:t>三、标准验证情况</w:t>
      </w:r>
    </w:p>
    <w:p>
      <w:pPr>
        <w:spacing w:line="360" w:lineRule="auto"/>
        <w:ind w:firstLine="420"/>
      </w:pPr>
      <w:r>
        <w:rPr>
          <w:rFonts w:hint="eastAsia" w:ascii="楷体" w:hAnsi="楷体" w:eastAsia="楷体" w:cs="楷体"/>
          <w:sz w:val="32"/>
          <w:szCs w:val="32"/>
        </w:rPr>
        <w:t>在标准制定期间，通过线上实地调研、研讨会、资料调研等方式对标准内容进行了调研和验证。本次共调研验证10家，针对标准农产品产地冷链集配中心的总体规划要求、卫生与安全要求、功能区要求、设备要求以及信息系统要求。均进行了询问，根据调研结果，企业均符合标准内容。</w:t>
      </w:r>
    </w:p>
    <w:p>
      <w:pPr>
        <w:spacing w:line="360" w:lineRule="auto"/>
        <w:ind w:firstLine="420"/>
        <w:rPr>
          <w:rFonts w:hint="eastAsia" w:ascii="楷体" w:hAnsi="楷体" w:eastAsia="楷体" w:cs="楷体"/>
          <w:sz w:val="32"/>
          <w:szCs w:val="32"/>
        </w:rPr>
      </w:pPr>
      <w:r>
        <w:rPr>
          <w:rFonts w:hint="eastAsia" w:ascii="楷体" w:hAnsi="楷体" w:eastAsia="楷体" w:cs="楷体"/>
          <w:sz w:val="32"/>
          <w:szCs w:val="32"/>
        </w:rPr>
        <w:t>本次调研、验证均是行业具有代表性的农产品产地冷链集配中心或为农产品产地冷链集配中心提供设施设备的企业，在农产品产地冷链集配领域拥有广泛的覆盖和代表性。同时，各单位也积极参与相关标准和法规的制定，推动整个行业的发展。后期将继续组织工作组开展调研和意见征集工作。</w:t>
      </w:r>
    </w:p>
    <w:p>
      <w:pPr>
        <w:spacing w:line="360" w:lineRule="auto"/>
        <w:ind w:firstLine="420"/>
        <w:rPr>
          <w:rFonts w:hint="eastAsia" w:ascii="楷体" w:hAnsi="楷体" w:eastAsia="楷体" w:cs="楷体"/>
          <w:sz w:val="32"/>
          <w:szCs w:val="32"/>
        </w:rPr>
      </w:pPr>
    </w:p>
    <w:p>
      <w:pPr>
        <w:jc w:val="center"/>
        <w:rPr>
          <w:rFonts w:ascii="宋体" w:hAnsi="宋体" w:cs="宋体"/>
          <w:szCs w:val="21"/>
        </w:rPr>
      </w:pPr>
      <w:bookmarkStart w:id="0" w:name="_GoBack"/>
      <w:bookmarkEnd w:id="0"/>
      <w:r>
        <w:rPr>
          <w:rFonts w:hint="eastAsia" w:ascii="宋体" w:hAnsi="宋体" w:eastAsia="宋体" w:cs="宋体"/>
          <w:szCs w:val="21"/>
        </w:rPr>
        <w:t>表2</w:t>
      </w:r>
      <w:r>
        <w:rPr>
          <w:rFonts w:hint="eastAsia"/>
        </w:rPr>
        <w:t>调研、验证企业名单</w:t>
      </w: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602"/>
        <w:gridCol w:w="3187"/>
        <w:gridCol w:w="1077"/>
        <w:gridCol w:w="2327"/>
        <w:gridCol w:w="94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90" w:hRule="atLeast"/>
          <w:jc w:val="center"/>
        </w:trPr>
        <w:tc>
          <w:tcPr>
            <w:tcW w:w="602"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序号</w:t>
            </w:r>
          </w:p>
        </w:tc>
        <w:tc>
          <w:tcPr>
            <w:tcW w:w="318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调研单位</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调研方式</w:t>
            </w:r>
          </w:p>
        </w:tc>
        <w:tc>
          <w:tcPr>
            <w:tcW w:w="232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验证内容</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符合情况</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kern w:val="0"/>
                <w:sz w:val="18"/>
                <w:szCs w:val="18"/>
              </w:rPr>
            </w:pPr>
            <w:r>
              <w:rPr>
                <w:rFonts w:hint="eastAsia" w:ascii="宋体" w:hAnsi="宋体" w:eastAsia="宋体" w:cs="宋体"/>
                <w:kern w:val="0"/>
                <w:sz w:val="18"/>
                <w:szCs w:val="18"/>
              </w:rPr>
              <w:t>山东喜地实业有限公司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资料调研</w:t>
            </w:r>
          </w:p>
        </w:tc>
        <w:tc>
          <w:tcPr>
            <w:tcW w:w="2327" w:type="dxa"/>
            <w:shd w:val="clear" w:color="000000" w:fill="auto"/>
          </w:tcPr>
          <w:p>
            <w:pPr>
              <w:jc w:val="both"/>
              <w:rPr>
                <w:rFonts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集配中心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kern w:val="0"/>
                <w:sz w:val="18"/>
                <w:szCs w:val="18"/>
              </w:rPr>
            </w:pPr>
            <w:r>
              <w:rPr>
                <w:rFonts w:hint="eastAsia" w:ascii="宋体" w:hAnsi="宋体" w:eastAsia="宋体" w:cs="宋体"/>
                <w:kern w:val="0"/>
                <w:sz w:val="18"/>
                <w:szCs w:val="18"/>
              </w:rPr>
              <w:t>山东寿光果菜批发市场有限公司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资料调研</w:t>
            </w:r>
          </w:p>
        </w:tc>
        <w:tc>
          <w:tcPr>
            <w:tcW w:w="2327" w:type="dxa"/>
            <w:shd w:val="clear" w:color="000000" w:fill="auto"/>
          </w:tcPr>
          <w:p>
            <w:pPr>
              <w:jc w:val="both"/>
              <w:rPr>
                <w:rFonts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集配中心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kern w:val="0"/>
                <w:sz w:val="18"/>
                <w:szCs w:val="18"/>
              </w:rPr>
            </w:pPr>
            <w:r>
              <w:rPr>
                <w:rFonts w:hint="eastAsia" w:ascii="宋体" w:hAnsi="宋体" w:eastAsia="宋体" w:cs="宋体"/>
                <w:kern w:val="0"/>
                <w:sz w:val="18"/>
                <w:szCs w:val="18"/>
              </w:rPr>
              <w:t>济南维尔康实业集团有限公司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资料调研</w:t>
            </w:r>
          </w:p>
        </w:tc>
        <w:tc>
          <w:tcPr>
            <w:tcW w:w="2327" w:type="dxa"/>
            <w:shd w:val="clear" w:color="000000" w:fill="auto"/>
          </w:tcPr>
          <w:p>
            <w:pPr>
              <w:jc w:val="both"/>
              <w:rPr>
                <w:rFonts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集配中心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kern w:val="0"/>
                <w:sz w:val="18"/>
                <w:szCs w:val="18"/>
              </w:rPr>
            </w:pPr>
            <w:r>
              <w:rPr>
                <w:rFonts w:hint="eastAsia" w:ascii="宋体" w:hAnsi="宋体" w:eastAsia="宋体" w:cs="宋体"/>
                <w:kern w:val="0"/>
                <w:sz w:val="18"/>
                <w:szCs w:val="18"/>
              </w:rPr>
              <w:t>日照农夫田歌生态农业科技有限公司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实地调研</w:t>
            </w:r>
          </w:p>
        </w:tc>
        <w:tc>
          <w:tcPr>
            <w:tcW w:w="232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集配中心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kern w:val="0"/>
                <w:sz w:val="18"/>
                <w:szCs w:val="18"/>
              </w:rPr>
            </w:pPr>
            <w:r>
              <w:rPr>
                <w:rFonts w:hint="eastAsia" w:ascii="宋体" w:hAnsi="宋体" w:eastAsia="宋体" w:cs="宋体"/>
                <w:kern w:val="0"/>
                <w:sz w:val="18"/>
                <w:szCs w:val="18"/>
              </w:rPr>
              <w:t>阳信亿利源清真肉类有限公司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资料调研</w:t>
            </w:r>
          </w:p>
        </w:tc>
        <w:tc>
          <w:tcPr>
            <w:tcW w:w="2327" w:type="dxa"/>
            <w:shd w:val="clear" w:color="000000" w:fill="auto"/>
          </w:tcPr>
          <w:p>
            <w:pPr>
              <w:jc w:val="both"/>
              <w:rPr>
                <w:rFonts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集配中心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kern w:val="0"/>
                <w:sz w:val="18"/>
                <w:szCs w:val="18"/>
              </w:rPr>
            </w:pPr>
            <w:r>
              <w:rPr>
                <w:rFonts w:hint="eastAsia" w:ascii="宋体" w:hAnsi="宋体" w:eastAsia="宋体" w:cs="宋体"/>
                <w:kern w:val="0"/>
                <w:sz w:val="18"/>
                <w:szCs w:val="18"/>
              </w:rPr>
              <w:t>烟台市喜旺食品工业发展有限公司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实地调研</w:t>
            </w:r>
          </w:p>
        </w:tc>
        <w:tc>
          <w:tcPr>
            <w:tcW w:w="232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集配中心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无锡朝阳集团</w:t>
            </w:r>
          </w:p>
        </w:tc>
        <w:tc>
          <w:tcPr>
            <w:tcW w:w="1077" w:type="dxa"/>
            <w:shd w:val="clear" w:color="000000" w:fill="auto"/>
            <w:vAlign w:val="center"/>
          </w:tcPr>
          <w:p>
            <w:pPr>
              <w:jc w:val="both"/>
              <w:rPr>
                <w:rFonts w:hint="eastAsia" w:ascii="宋体" w:hAnsi="宋体" w:eastAsia="宋体" w:cs="宋体"/>
                <w:sz w:val="18"/>
                <w:szCs w:val="18"/>
              </w:rPr>
            </w:pPr>
            <w:r>
              <w:rPr>
                <w:rFonts w:hint="eastAsia" w:ascii="宋体" w:hAnsi="宋体" w:eastAsia="宋体" w:cs="宋体"/>
                <w:sz w:val="18"/>
                <w:szCs w:val="18"/>
              </w:rPr>
              <w:t>实地调研</w:t>
            </w:r>
          </w:p>
        </w:tc>
        <w:tc>
          <w:tcPr>
            <w:tcW w:w="2327" w:type="dxa"/>
            <w:shd w:val="clear" w:color="000000" w:fill="auto"/>
          </w:tcPr>
          <w:p>
            <w:pPr>
              <w:jc w:val="both"/>
              <w:rPr>
                <w:rFonts w:hint="eastAsia"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hint="eastAsia"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hint="eastAsia" w:ascii="宋体" w:hAnsi="宋体" w:eastAsia="宋体" w:cs="宋体"/>
                <w:sz w:val="18"/>
                <w:szCs w:val="18"/>
              </w:rPr>
            </w:pPr>
            <w:r>
              <w:rPr>
                <w:rFonts w:hint="eastAsia" w:ascii="宋体" w:hAnsi="宋体" w:eastAsia="宋体" w:cs="宋体"/>
                <w:sz w:val="18"/>
                <w:szCs w:val="18"/>
              </w:rPr>
              <w:t>集配中心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sz w:val="18"/>
                <w:szCs w:val="18"/>
              </w:rPr>
            </w:pPr>
            <w:r>
              <w:rPr>
                <w:rFonts w:hint="eastAsia" w:ascii="Times New Roman"/>
                <w:sz w:val="18"/>
                <w:szCs w:val="18"/>
              </w:rPr>
              <w:t>安徽鑫合机电设备有限公司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实地调研</w:t>
            </w:r>
          </w:p>
        </w:tc>
        <w:tc>
          <w:tcPr>
            <w:tcW w:w="232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农产品集配中心设备要求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sz w:val="18"/>
                <w:szCs w:val="18"/>
              </w:rPr>
            </w:pPr>
            <w:r>
              <w:rPr>
                <w:rFonts w:hint="eastAsia" w:ascii="Times New Roman"/>
                <w:sz w:val="18"/>
                <w:szCs w:val="18"/>
              </w:rPr>
              <w:t>南京众彩经营服务有限公司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实地调研</w:t>
            </w:r>
          </w:p>
        </w:tc>
        <w:tc>
          <w:tcPr>
            <w:tcW w:w="232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农产品集配中心基本要求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shd w:val="clear" w:color="000000" w:fill="auto"/>
            <w:vAlign w:val="center"/>
          </w:tcPr>
          <w:p>
            <w:pPr>
              <w:numPr>
                <w:ilvl w:val="0"/>
                <w:numId w:val="2"/>
              </w:numPr>
              <w:jc w:val="both"/>
              <w:rPr>
                <w:rFonts w:ascii="宋体" w:hAnsi="宋体" w:eastAsia="宋体" w:cs="宋体"/>
                <w:sz w:val="18"/>
                <w:szCs w:val="18"/>
              </w:rPr>
            </w:pPr>
          </w:p>
        </w:tc>
        <w:tc>
          <w:tcPr>
            <w:tcW w:w="3187" w:type="dxa"/>
            <w:shd w:val="clear" w:color="000000" w:fill="auto"/>
            <w:vAlign w:val="center"/>
          </w:tcPr>
          <w:p>
            <w:pPr>
              <w:widowControl/>
              <w:jc w:val="both"/>
              <w:textAlignment w:val="center"/>
              <w:rPr>
                <w:rFonts w:ascii="宋体" w:hAnsi="宋体" w:eastAsia="宋体" w:cs="宋体"/>
                <w:sz w:val="18"/>
                <w:szCs w:val="18"/>
              </w:rPr>
            </w:pPr>
            <w:r>
              <w:rPr>
                <w:rFonts w:hint="eastAsia" w:ascii="Times New Roman"/>
                <w:sz w:val="18"/>
                <w:szCs w:val="18"/>
              </w:rPr>
              <w:t>江苏精英冷暖设备有限公司</w:t>
            </w:r>
          </w:p>
        </w:tc>
        <w:tc>
          <w:tcPr>
            <w:tcW w:w="107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实地调研</w:t>
            </w:r>
          </w:p>
        </w:tc>
        <w:tc>
          <w:tcPr>
            <w:tcW w:w="2327"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农产品集配中心设备要求</w:t>
            </w:r>
          </w:p>
        </w:tc>
        <w:tc>
          <w:tcPr>
            <w:tcW w:w="945"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符合</w:t>
            </w:r>
          </w:p>
        </w:tc>
        <w:tc>
          <w:tcPr>
            <w:tcW w:w="959" w:type="dxa"/>
            <w:shd w:val="clear" w:color="000000" w:fill="auto"/>
            <w:vAlign w:val="center"/>
          </w:tcPr>
          <w:p>
            <w:pPr>
              <w:jc w:val="both"/>
              <w:rPr>
                <w:rFonts w:ascii="宋体" w:hAnsi="宋体" w:eastAsia="宋体" w:cs="宋体"/>
                <w:sz w:val="18"/>
                <w:szCs w:val="18"/>
              </w:rPr>
            </w:pPr>
            <w:r>
              <w:rPr>
                <w:rFonts w:hint="eastAsia" w:ascii="宋体" w:hAnsi="宋体" w:eastAsia="宋体" w:cs="宋体"/>
                <w:sz w:val="18"/>
                <w:szCs w:val="18"/>
              </w:rPr>
              <w:t>设施设备</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四、采用国际标准和国外先进标准的程度，以及与国际、国外同类标准水平的对比情况</w:t>
      </w:r>
    </w:p>
    <w:p>
      <w:pPr>
        <w:ind w:firstLine="640" w:firstLineChars="200"/>
        <w:rPr>
          <w:rFonts w:ascii="楷体" w:hAnsi="楷体" w:eastAsia="楷体" w:cs="楷体"/>
          <w:sz w:val="32"/>
          <w:szCs w:val="32"/>
        </w:rPr>
      </w:pPr>
      <w:r>
        <w:rPr>
          <w:rFonts w:hint="eastAsia" w:ascii="楷体" w:hAnsi="楷体" w:eastAsia="楷体" w:cs="楷体"/>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rPr>
        <w:t>五、与有关的现行法律、法规和标准的关系</w:t>
      </w:r>
    </w:p>
    <w:p>
      <w:pPr>
        <w:ind w:firstLine="640" w:firstLineChars="200"/>
        <w:rPr>
          <w:rFonts w:ascii="黑体" w:hAnsi="黑体" w:eastAsia="楷体" w:cs="黑体"/>
          <w:sz w:val="32"/>
          <w:szCs w:val="32"/>
        </w:rPr>
      </w:pPr>
      <w:r>
        <w:rPr>
          <w:rFonts w:hint="eastAsia" w:ascii="楷体" w:hAnsi="楷体" w:eastAsia="楷体" w:cs="楷体"/>
          <w:sz w:val="32"/>
          <w:szCs w:val="32"/>
        </w:rPr>
        <w:t>整体规划方面引用GB/T 21334-2017 《物流园区分类与规划基本要求》，卫生方面引用GB 14881 《食品安全国家标准 食品生产通用卫生规范》、GB 31605 《食品安全国家标准 食品冷链物流卫生规范》、GB 31621 《食品安全国家标准 食品经营过程卫生规范》，设施设备等方面引用GB/T 37106 《托盘单元化物流系统 托盘设计准则》、GB/T 39907 《果蔬类周转箱尺寸系列及技术要求》、GB/T 42503 《农产品产地冷链物流服务规范》、DG/T 294 《果蔬预冷设备》、WB/T 1076 《冷库用货架》、NY/T 4168-2022 《果蔬预冷技术规范》。</w:t>
      </w:r>
    </w:p>
    <w:p>
      <w:pPr>
        <w:ind w:firstLine="640" w:firstLineChars="200"/>
        <w:rPr>
          <w:rFonts w:ascii="黑体" w:hAnsi="黑体" w:eastAsia="黑体" w:cs="黑体"/>
          <w:sz w:val="32"/>
          <w:szCs w:val="32"/>
        </w:rPr>
      </w:pPr>
      <w:r>
        <w:rPr>
          <w:rFonts w:hint="eastAsia" w:ascii="黑体" w:hAnsi="黑体" w:eastAsia="黑体" w:cs="黑体"/>
          <w:sz w:val="32"/>
          <w:szCs w:val="32"/>
        </w:rPr>
        <w:t>六、重大分歧意见的处理经过和依据</w:t>
      </w:r>
    </w:p>
    <w:p>
      <w:pPr>
        <w:ind w:firstLine="640" w:firstLineChars="200"/>
        <w:rPr>
          <w:rFonts w:ascii="楷体" w:hAnsi="楷体" w:eastAsia="楷体" w:cs="楷体"/>
          <w:sz w:val="32"/>
          <w:szCs w:val="32"/>
        </w:rPr>
      </w:pPr>
      <w:r>
        <w:rPr>
          <w:rFonts w:hint="eastAsia" w:ascii="楷体" w:hAnsi="楷体" w:eastAsia="楷体" w:cs="楷体"/>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rPr>
        <w:t>七、实施建议</w:t>
      </w:r>
    </w:p>
    <w:p>
      <w:pPr>
        <w:ind w:firstLine="640" w:firstLineChars="200"/>
        <w:rPr>
          <w:rFonts w:ascii="楷体" w:hAnsi="楷体" w:eastAsia="楷体" w:cs="楷体"/>
          <w:sz w:val="32"/>
          <w:szCs w:val="32"/>
        </w:rPr>
      </w:pPr>
      <w:r>
        <w:rPr>
          <w:rFonts w:hint="eastAsia" w:ascii="楷体" w:hAnsi="楷体" w:eastAsia="楷体" w:cs="楷体"/>
          <w:sz w:val="32"/>
          <w:szCs w:val="32"/>
        </w:rPr>
        <w:t>企业是标准实施的主体，为促进各相关企业理解标准内容，规范企业操作和管理，提高农产品产地集配中心的整体水平，加强行业自律，标准发布后，后续工作将通过宣贯培训、试点示范等形式来推动标准的落地实施。</w:t>
      </w:r>
    </w:p>
    <w:p>
      <w:pPr>
        <w:ind w:firstLine="640" w:firstLineChars="200"/>
        <w:rPr>
          <w:rFonts w:ascii="楷体" w:hAnsi="楷体" w:eastAsia="楷体" w:cs="楷体"/>
          <w:sz w:val="32"/>
          <w:szCs w:val="32"/>
        </w:rPr>
      </w:pPr>
      <w:r>
        <w:rPr>
          <w:rFonts w:hint="eastAsia" w:ascii="楷体" w:hAnsi="楷体" w:eastAsia="楷体" w:cs="楷体"/>
          <w:sz w:val="32"/>
          <w:szCs w:val="32"/>
        </w:rPr>
        <w:t>（一）加强宣传，大力推广</w:t>
      </w:r>
    </w:p>
    <w:p>
      <w:pPr>
        <w:ind w:firstLine="640" w:firstLineChars="200"/>
        <w:rPr>
          <w:rFonts w:ascii="楷体" w:hAnsi="楷体" w:eastAsia="楷体" w:cs="楷体"/>
          <w:sz w:val="32"/>
          <w:szCs w:val="32"/>
        </w:rPr>
      </w:pPr>
      <w:r>
        <w:rPr>
          <w:rFonts w:hint="eastAsia" w:ascii="楷体" w:hAnsi="楷体" w:eastAsia="楷体" w:cs="楷体"/>
          <w:sz w:val="32"/>
          <w:szCs w:val="32"/>
        </w:rPr>
        <w:t>通过举办培训班、召开会议、发放宣传资料以及网络、微信、公众号等方式强化宣传，大力普及标准，营造贯彻标准的良好氛围，提高标准的社会关注度与知晓度，促进各相关企业和农产品产地集配中心准确理解、掌握和执行标准。</w:t>
      </w:r>
    </w:p>
    <w:p>
      <w:pPr>
        <w:ind w:firstLine="640" w:firstLineChars="200"/>
        <w:rPr>
          <w:rFonts w:ascii="楷体" w:hAnsi="楷体" w:eastAsia="楷体" w:cs="楷体"/>
          <w:sz w:val="32"/>
          <w:szCs w:val="32"/>
        </w:rPr>
      </w:pPr>
      <w:r>
        <w:rPr>
          <w:rFonts w:hint="eastAsia" w:ascii="楷体" w:hAnsi="楷体" w:eastAsia="楷体" w:cs="楷体"/>
          <w:sz w:val="32"/>
          <w:szCs w:val="32"/>
        </w:rPr>
        <w:t>（二）鼓励试点，加大扶持</w:t>
      </w:r>
    </w:p>
    <w:p>
      <w:pPr>
        <w:ind w:firstLine="640" w:firstLineChars="200"/>
        <w:rPr>
          <w:rFonts w:ascii="楷体" w:hAnsi="楷体" w:eastAsia="楷体" w:cs="楷体"/>
          <w:sz w:val="32"/>
          <w:szCs w:val="32"/>
        </w:rPr>
      </w:pPr>
      <w:r>
        <w:rPr>
          <w:rFonts w:hint="eastAsia" w:ascii="楷体" w:hAnsi="楷体" w:eastAsia="楷体" w:cs="楷体"/>
          <w:sz w:val="32"/>
          <w:szCs w:val="32"/>
        </w:rPr>
        <w:t>鼓励企业自行试点，筛选出一批符合标准要求，能为社会提供公共服务的专业农产品产地集配中心，以此不断提高农产品产地集配中心服务的质量和服务的效益。从而推动相关政府主管部门出台相应政策，扶持行业发展。</w:t>
      </w:r>
    </w:p>
    <w:p>
      <w:pPr>
        <w:ind w:firstLine="640" w:firstLineChars="200"/>
        <w:rPr>
          <w:rFonts w:ascii="楷体" w:hAnsi="楷体" w:eastAsia="楷体" w:cs="楷体"/>
          <w:sz w:val="32"/>
          <w:szCs w:val="32"/>
        </w:rPr>
      </w:pPr>
      <w:r>
        <w:rPr>
          <w:rFonts w:hint="eastAsia" w:ascii="楷体" w:hAnsi="楷体" w:eastAsia="楷体" w:cs="楷体"/>
          <w:sz w:val="32"/>
          <w:szCs w:val="32"/>
        </w:rPr>
        <w:t>（三）建立健全的监管体系</w:t>
      </w:r>
    </w:p>
    <w:p>
      <w:pPr>
        <w:ind w:firstLine="640" w:firstLineChars="200"/>
        <w:rPr>
          <w:rFonts w:ascii="楷体" w:hAnsi="楷体" w:eastAsia="楷体" w:cs="楷体"/>
          <w:sz w:val="32"/>
          <w:szCs w:val="32"/>
        </w:rPr>
      </w:pPr>
      <w:r>
        <w:rPr>
          <w:rFonts w:hint="eastAsia" w:ascii="楷体" w:hAnsi="楷体" w:eastAsia="楷体" w:cs="楷体"/>
          <w:sz w:val="32"/>
          <w:szCs w:val="32"/>
        </w:rPr>
        <w:t>推动相关政府主管部门积极引用标准，建立较为完善的监督检查机制。畅通标准实施信息反馈渠道，并运用行业准入条件、生产许可、合格评定等手段，促进农产品冷链物流标准的有效实施。</w:t>
      </w:r>
    </w:p>
    <w:p>
      <w:pPr>
        <w:ind w:firstLine="640" w:firstLineChars="200"/>
        <w:rPr>
          <w:rFonts w:ascii="黑体" w:hAnsi="黑体" w:eastAsia="黑体" w:cs="黑体"/>
          <w:sz w:val="32"/>
          <w:szCs w:val="32"/>
        </w:rPr>
      </w:pPr>
      <w:r>
        <w:rPr>
          <w:rFonts w:hint="eastAsia" w:ascii="黑体" w:hAnsi="黑体" w:eastAsia="黑体" w:cs="黑体"/>
          <w:sz w:val="32"/>
          <w:szCs w:val="32"/>
        </w:rPr>
        <w:t>八、废止现行有关标准的建议</w:t>
      </w:r>
    </w:p>
    <w:p>
      <w:pPr>
        <w:ind w:firstLine="640" w:firstLineChars="200"/>
        <w:rPr>
          <w:rFonts w:ascii="楷体" w:hAnsi="楷体" w:eastAsia="楷体" w:cs="楷体"/>
          <w:sz w:val="32"/>
          <w:szCs w:val="32"/>
        </w:rPr>
      </w:pPr>
      <w:r>
        <w:rPr>
          <w:rFonts w:hint="eastAsia" w:ascii="楷体" w:hAnsi="楷体" w:eastAsia="楷体" w:cs="楷体"/>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rPr>
        <w:t>九、其他应当说明的事项</w:t>
      </w:r>
    </w:p>
    <w:p>
      <w:pPr>
        <w:ind w:firstLine="640" w:firstLineChars="200"/>
        <w:rPr>
          <w:rFonts w:ascii="楷体" w:hAnsi="楷体" w:eastAsia="楷体" w:cs="楷体"/>
          <w:sz w:val="32"/>
          <w:szCs w:val="32"/>
        </w:rPr>
      </w:pPr>
      <w:r>
        <w:rPr>
          <w:rFonts w:hint="eastAsia" w:ascii="楷体" w:hAnsi="楷体" w:eastAsia="楷体" w:cs="楷体"/>
          <w:sz w:val="32"/>
          <w:szCs w:val="32"/>
        </w:rPr>
        <w:t>无。</w:t>
      </w:r>
    </w:p>
    <w:p>
      <w:pPr>
        <w:ind w:firstLine="640" w:firstLineChars="200"/>
        <w:rPr>
          <w:rFonts w:ascii="楷体" w:hAnsi="楷体" w:eastAsia="楷体" w:cs="楷体"/>
          <w:sz w:val="32"/>
          <w:szCs w:val="32"/>
        </w:rPr>
      </w:pPr>
    </w:p>
    <w:p>
      <w:pPr>
        <w:ind w:firstLine="640" w:firstLineChars="200"/>
        <w:rPr>
          <w:rFonts w:ascii="楷体" w:hAnsi="楷体" w:eastAsia="楷体" w:cs="楷体"/>
          <w:sz w:val="32"/>
          <w:szCs w:val="32"/>
        </w:rPr>
      </w:pPr>
    </w:p>
    <w:p>
      <w:pPr>
        <w:ind w:firstLine="566" w:firstLineChars="177"/>
        <w:jc w:val="right"/>
        <w:rPr>
          <w:rFonts w:ascii="楷体" w:hAnsi="楷体" w:eastAsia="楷体" w:cs="楷体"/>
          <w:sz w:val="32"/>
          <w:szCs w:val="32"/>
        </w:rPr>
      </w:pPr>
      <w:r>
        <w:rPr>
          <w:rFonts w:hint="eastAsia" w:ascii="楷体" w:hAnsi="楷体" w:eastAsia="楷体" w:cs="楷体"/>
          <w:sz w:val="32"/>
          <w:szCs w:val="32"/>
        </w:rPr>
        <w:t>《农产品产地冷链集配中心基本要求》行业标准起草组</w:t>
      </w:r>
    </w:p>
    <w:p>
      <w:pPr>
        <w:ind w:firstLine="3542" w:firstLineChars="1107"/>
        <w:jc w:val="right"/>
      </w:pPr>
      <w:r>
        <w:rPr>
          <w:rFonts w:hint="eastAsia" w:ascii="楷体" w:hAnsi="楷体" w:eastAsia="楷体" w:cs="楷体"/>
          <w:sz w:val="32"/>
          <w:szCs w:val="32"/>
        </w:rPr>
        <w:t>2023年11月</w:t>
      </w:r>
      <w:r>
        <w:rPr>
          <w:rFonts w:hint="eastAsia" w:ascii="楷体" w:hAnsi="楷体" w:eastAsia="楷体" w:cs="楷体"/>
          <w:sz w:val="32"/>
          <w:szCs w:val="32"/>
          <w:lang w:val="en-US" w:eastAsia="zh-CN"/>
        </w:rPr>
        <w:t>21</w:t>
      </w:r>
      <w:r>
        <w:rPr>
          <w:rFonts w:hint="eastAsia" w:ascii="楷体" w:hAnsi="楷体" w:eastAsia="楷体" w:cs="楷体"/>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48164754"/>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3"/>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67F5"/>
    <w:multiLevelType w:val="singleLevel"/>
    <w:tmpl w:val="BF5D67F5"/>
    <w:lvl w:ilvl="0" w:tentative="0">
      <w:start w:val="1"/>
      <w:numFmt w:val="decimal"/>
      <w:lvlText w:val="%1."/>
      <w:lvlJc w:val="left"/>
      <w:pPr>
        <w:ind w:left="425" w:hanging="425"/>
      </w:pPr>
      <w:rPr>
        <w:rFonts w:hint="default"/>
      </w:rPr>
    </w:lvl>
  </w:abstractNum>
  <w:abstractNum w:abstractNumId="1">
    <w:nsid w:val="090A30B6"/>
    <w:multiLevelType w:val="singleLevel"/>
    <w:tmpl w:val="090A30B6"/>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jJjMzFkMzM5NjQ1ZjVhODRiOGU5NzBhOTAyZjMifQ=="/>
  </w:docVars>
  <w:rsids>
    <w:rsidRoot w:val="3B6644BA"/>
    <w:rsid w:val="00023A0C"/>
    <w:rsid w:val="000345E6"/>
    <w:rsid w:val="000B2CBD"/>
    <w:rsid w:val="00142E32"/>
    <w:rsid w:val="002553A3"/>
    <w:rsid w:val="002749DA"/>
    <w:rsid w:val="003940E7"/>
    <w:rsid w:val="003A3EAF"/>
    <w:rsid w:val="00470951"/>
    <w:rsid w:val="00473F15"/>
    <w:rsid w:val="00480822"/>
    <w:rsid w:val="004B0893"/>
    <w:rsid w:val="004B678B"/>
    <w:rsid w:val="004C2C64"/>
    <w:rsid w:val="004F39C6"/>
    <w:rsid w:val="005136AB"/>
    <w:rsid w:val="0066703F"/>
    <w:rsid w:val="00673A85"/>
    <w:rsid w:val="006945D5"/>
    <w:rsid w:val="0070728B"/>
    <w:rsid w:val="007F23E9"/>
    <w:rsid w:val="007F5B6C"/>
    <w:rsid w:val="00817D52"/>
    <w:rsid w:val="008A0FD8"/>
    <w:rsid w:val="008A58B2"/>
    <w:rsid w:val="008B7ED0"/>
    <w:rsid w:val="0093336F"/>
    <w:rsid w:val="00935C92"/>
    <w:rsid w:val="009E600A"/>
    <w:rsid w:val="00BF2B0D"/>
    <w:rsid w:val="00C05AA3"/>
    <w:rsid w:val="00C81B93"/>
    <w:rsid w:val="00D2256B"/>
    <w:rsid w:val="00DB6F19"/>
    <w:rsid w:val="00DF02FA"/>
    <w:rsid w:val="00DF7B74"/>
    <w:rsid w:val="00EA4562"/>
    <w:rsid w:val="00F9700F"/>
    <w:rsid w:val="00FB4C4E"/>
    <w:rsid w:val="00FD1647"/>
    <w:rsid w:val="04E36DEE"/>
    <w:rsid w:val="08053BE8"/>
    <w:rsid w:val="094C101F"/>
    <w:rsid w:val="0A8A7299"/>
    <w:rsid w:val="11B13E26"/>
    <w:rsid w:val="18193557"/>
    <w:rsid w:val="19021216"/>
    <w:rsid w:val="1AA96D03"/>
    <w:rsid w:val="1C747EA0"/>
    <w:rsid w:val="1CBD5832"/>
    <w:rsid w:val="23B75AD9"/>
    <w:rsid w:val="25B730BB"/>
    <w:rsid w:val="26F356F3"/>
    <w:rsid w:val="38A9168B"/>
    <w:rsid w:val="3A096D7C"/>
    <w:rsid w:val="3B6644BA"/>
    <w:rsid w:val="3DD7422B"/>
    <w:rsid w:val="3E2E3B3D"/>
    <w:rsid w:val="3F0D09C6"/>
    <w:rsid w:val="404E2D0E"/>
    <w:rsid w:val="4178461F"/>
    <w:rsid w:val="430D48A1"/>
    <w:rsid w:val="44AF4552"/>
    <w:rsid w:val="44FC39B7"/>
    <w:rsid w:val="4C7C718B"/>
    <w:rsid w:val="4D6A3F3A"/>
    <w:rsid w:val="4E7D3987"/>
    <w:rsid w:val="4FBD3D43"/>
    <w:rsid w:val="54521B93"/>
    <w:rsid w:val="5497013C"/>
    <w:rsid w:val="58432FE3"/>
    <w:rsid w:val="5AEF177F"/>
    <w:rsid w:val="5D3D6FC2"/>
    <w:rsid w:val="6C270D09"/>
    <w:rsid w:val="71FB3B12"/>
    <w:rsid w:val="73332E17"/>
    <w:rsid w:val="7F51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annotation subject"/>
    <w:basedOn w:val="2"/>
    <w:next w:val="2"/>
    <w:link w:val="15"/>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99"/>
    <w:rPr>
      <w:kern w:val="2"/>
      <w:sz w:val="18"/>
      <w:szCs w:val="18"/>
    </w:rPr>
  </w:style>
  <w:style w:type="character" w:customStyle="1" w:styleId="11">
    <w:name w:val="ediassetstextcon"/>
    <w:basedOn w:val="7"/>
    <w:qFormat/>
    <w:uiPriority w:val="0"/>
  </w:style>
  <w:style w:type="character" w:customStyle="1" w:styleId="12">
    <w:name w:val="font11"/>
    <w:basedOn w:val="7"/>
    <w:qFormat/>
    <w:uiPriority w:val="0"/>
    <w:rPr>
      <w:rFonts w:hint="eastAsia" w:ascii="宋体" w:hAnsi="宋体" w:eastAsia="宋体" w:cs="宋体"/>
      <w:color w:val="000000"/>
      <w:sz w:val="21"/>
      <w:szCs w:val="21"/>
      <w:u w:val="none"/>
    </w:rPr>
  </w:style>
  <w:style w:type="paragraph" w:customStyle="1" w:styleId="1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5"/>
    <w:qFormat/>
    <w:uiPriority w:val="0"/>
    <w:rPr>
      <w:rFonts w:asciiTheme="minorHAnsi" w:hAnsiTheme="minorHAnsi" w:eastAsiaTheme="minorEastAsia" w:cstheme="minorBidi"/>
      <w:b/>
      <w:bCs/>
      <w:kern w:val="2"/>
      <w:sz w:val="21"/>
      <w:szCs w:val="24"/>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1645</Words>
  <Characters>9377</Characters>
  <Lines>78</Lines>
  <Paragraphs>21</Paragraphs>
  <TotalTime>0</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2023-10-16T01:19:00Z</dcterms:created>
  <dc:creator>金蕾</dc:creator>
  <cp:lastModifiedBy>嘻嘻嘻嘻哈</cp:lastModifiedBy>
  <dcterms:modified xsi:type="dcterms:W3CDTF">2023-11-23T08:29:39Z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38A4735006D8440FA726D676D0E7E1E6</vt:lpwstr>
  </property>
</Properties>
</file>